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840d203fed1f2030e2fa65e7af8202bf3a288a"/>
    <w:p>
      <w:pPr>
        <w:pStyle w:val="Heading1"/>
      </w:pPr>
      <w:r>
        <w:t xml:space="preserve">Hertz Insurance Replacement Lead Conversion optimisation Project Context, Scope, Objectives</w: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Compact"/>
        <w:numPr>
          <w:ilvl w:val="0"/>
          <w:numId w:val="1001"/>
        </w:numPr>
      </w:pPr>
      <w:r>
        <w:t xml:space="preserve">Hertz derives ~20% of its total North America revenue (~$2B annually) from the Insurance Replacement segment</w:t>
      </w:r>
    </w:p>
    <w:p>
      <w:pPr>
        <w:pStyle w:val="Compact"/>
        <w:numPr>
          <w:ilvl w:val="0"/>
          <w:numId w:val="1001"/>
        </w:numPr>
      </w:pPr>
      <w:r>
        <w:t xml:space="preserve">The Insurance Replacement segment involves providing rental cars to customers whose vehicles are being repaired or replaced after an accident, with rentals covered by insurance companies</w:t>
      </w:r>
    </w:p>
    <w:p>
      <w:pPr>
        <w:pStyle w:val="Compact"/>
        <w:numPr>
          <w:ilvl w:val="0"/>
          <w:numId w:val="1001"/>
        </w:numPr>
      </w:pPr>
      <w:r>
        <w:t xml:space="preserve">Enterprise dominates the segment with ~70% market share vs. Hertz’s ~30% share</w:t>
      </w:r>
    </w:p>
    <w:p>
      <w:pPr>
        <w:pStyle w:val="Compact"/>
        <w:numPr>
          <w:ilvl w:val="0"/>
          <w:numId w:val="1001"/>
        </w:numPr>
      </w:pPr>
      <w:r>
        <w:t xml:space="preserve">Hertz currently converts 67-70% of insurance-referred leads, representing a significant gap to best-in-class performance (~80%)</w:t>
      </w:r>
    </w:p>
    <w:p>
      <w:pPr>
        <w:pStyle w:val="Compact"/>
        <w:numPr>
          <w:ilvl w:val="0"/>
          <w:numId w:val="1001"/>
        </w:numPr>
      </w:pPr>
      <w:r>
        <w:t xml:space="preserve">Lost conversions represent $20-30M in immediate revenue opportunity, with additional strategic upside in market share capture</w:t>
      </w:r>
    </w:p>
    <w:p>
      <w:pPr>
        <w:pStyle w:val="Compact"/>
        <w:numPr>
          <w:ilvl w:val="0"/>
          <w:numId w:val="1001"/>
        </w:numPr>
      </w:pPr>
      <w:r>
        <w:t xml:space="preserve">Root causes of lost conversions are currently understood anecdotally but not quantified or systematically addressed</w:t>
      </w:r>
    </w:p>
    <w:bookmarkEnd w:id="9"/>
    <w:bookmarkStart w:id="10" w:name="success-metrics"/>
    <w:p>
      <w:pPr>
        <w:pStyle w:val="Heading2"/>
      </w:pPr>
      <w:r>
        <w:t xml:space="preserve">Success metrics</w:t>
      </w:r>
    </w:p>
    <w:p>
      <w:pPr>
        <w:pStyle w:val="Compact"/>
        <w:numPr>
          <w:ilvl w:val="0"/>
          <w:numId w:val="1002"/>
        </w:numPr>
      </w:pPr>
      <w:r>
        <w:t xml:space="preserve">Improved conversion rates from 67-70% to 80%+ within 12-18 months.</w:t>
      </w:r>
    </w:p>
    <w:p>
      <w:pPr>
        <w:pStyle w:val="Compact"/>
        <w:numPr>
          <w:ilvl w:val="0"/>
          <w:numId w:val="1002"/>
        </w:numPr>
      </w:pPr>
      <w:r>
        <w:t xml:space="preserve">At least an additional 800 conversions per month would payback Carrara’s fees (60,000 USD) for the 6 weeks.</w:t>
      </w:r>
    </w:p>
    <w:bookmarkEnd w:id="10"/>
    <w:bookmarkStart w:id="11" w:name="output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03"/>
        </w:numPr>
      </w:pPr>
      <w:r>
        <w:t xml:space="preserve">Jupyter notebook report outlining the results of our hypothesis testing through the data and stakeholder interviews.</w:t>
      </w:r>
    </w:p>
    <w:p>
      <w:pPr>
        <w:pStyle w:val="Compact"/>
        <w:numPr>
          <w:ilvl w:val="0"/>
          <w:numId w:val="1003"/>
        </w:numPr>
      </w:pPr>
      <w:r>
        <w:t xml:space="preserve">Diagnostics report with quantification of failure steps &amp; estimated contribution to loss conversion (and therefore uplift potential)</w:t>
      </w:r>
    </w:p>
    <w:p>
      <w:pPr>
        <w:pStyle w:val="Compact"/>
        <w:numPr>
          <w:ilvl w:val="0"/>
          <w:numId w:val="1003"/>
        </w:numPr>
      </w:pPr>
      <w:r>
        <w:t xml:space="preserve">ROI prioritization framework that balances revenue impact, implementation complexity, and time-to-value for potential interventions</w:t>
      </w:r>
    </w:p>
    <w:bookmarkEnd w:id="11"/>
    <w:bookmarkStart w:id="15" w:name="this-is-likely-achieved-by"/>
    <w:p>
      <w:pPr>
        <w:pStyle w:val="Heading2"/>
      </w:pPr>
      <w:r>
        <w:t xml:space="preserve">This is likely achieved by:</w:t>
      </w:r>
    </w:p>
    <w:bookmarkStart w:id="12" w:name="data-analysis"/>
    <w:p>
      <w:pPr>
        <w:pStyle w:val="Heading3"/>
      </w:pPr>
      <w:r>
        <w:t xml:space="preserve">Data analysis</w:t>
      </w:r>
    </w:p>
    <w:p>
      <w:pPr>
        <w:pStyle w:val="Compact"/>
        <w:numPr>
          <w:ilvl w:val="0"/>
          <w:numId w:val="1004"/>
        </w:numPr>
      </w:pPr>
      <w:r>
        <w:t xml:space="preserve">Use converted leads, unconverted leads, location data, and other provided data.</w:t>
      </w:r>
    </w:p>
    <w:p>
      <w:pPr>
        <w:pStyle w:val="Compact"/>
        <w:numPr>
          <w:ilvl w:val="0"/>
          <w:numId w:val="1004"/>
        </w:numPr>
      </w:pPr>
      <w:r>
        <w:t xml:space="preserve">Compare attributes and nature of converted leads vs unconverted leads, key differences / patterns.</w:t>
      </w:r>
    </w:p>
    <w:p>
      <w:pPr>
        <w:pStyle w:val="Compact"/>
        <w:numPr>
          <w:ilvl w:val="0"/>
          <w:numId w:val="1004"/>
        </w:numPr>
      </w:pPr>
      <w:r>
        <w:t xml:space="preserve">Leverage statistical analysis to understand what influence conversion rates up or down significantly</w:t>
      </w:r>
    </w:p>
    <w:bookmarkEnd w:id="12"/>
    <w:bookmarkStart w:id="13" w:name="X24123d509f063b8176dd45d96385c88ee81efc4"/>
    <w:p>
      <w:pPr>
        <w:pStyle w:val="Heading3"/>
      </w:pPr>
      <w:r>
        <w:t xml:space="preserve">Stakeholder interviews for operational insights</w:t>
      </w:r>
    </w:p>
    <w:p>
      <w:pPr>
        <w:pStyle w:val="Compact"/>
        <w:numPr>
          <w:ilvl w:val="0"/>
          <w:numId w:val="1005"/>
        </w:numPr>
      </w:pPr>
      <w:r>
        <w:t xml:space="preserve">Use emerging insights from the data to dive deeper with Hertz stakeholders, getting more fidelity on what actually happens on the ground which causes the failure modes</w:t>
      </w:r>
    </w:p>
    <w:p>
      <w:pPr>
        <w:pStyle w:val="Compact"/>
        <w:numPr>
          <w:ilvl w:val="0"/>
          <w:numId w:val="1005"/>
        </w:numPr>
      </w:pPr>
      <w:r>
        <w:t xml:space="preserve">Focus on outbound calling desk and customer contact process.</w:t>
      </w:r>
    </w:p>
    <w:p>
      <w:pPr>
        <w:pStyle w:val="Compact"/>
        <w:numPr>
          <w:ilvl w:val="0"/>
          <w:numId w:val="1005"/>
        </w:numPr>
      </w:pPr>
      <w:r>
        <w:t xml:space="preserve">Identify specific breakdowns (timing, trust, follow-up, call quality) and resource allocation needs.</w:t>
      </w:r>
    </w:p>
    <w:p>
      <w:pPr>
        <w:pStyle w:val="Compact"/>
        <w:numPr>
          <w:ilvl w:val="0"/>
          <w:numId w:val="1005"/>
        </w:numPr>
      </w:pPr>
      <w:r>
        <w:t xml:space="preserve">Recommend quick-win interventions (3–6 months) and highlight longer-term “big rocks” to tackle in 2026.</w:t>
      </w:r>
    </w:p>
    <w:bookmarkEnd w:id="13"/>
    <w:bookmarkStart w:id="14" w:name="financial-modeling"/>
    <w:p>
      <w:pPr>
        <w:pStyle w:val="Heading3"/>
      </w:pPr>
      <w:r>
        <w:t xml:space="preserve">Financial modeling</w:t>
      </w:r>
    </w:p>
    <w:p>
      <w:pPr>
        <w:pStyle w:val="Compact"/>
        <w:numPr>
          <w:ilvl w:val="0"/>
          <w:numId w:val="1006"/>
        </w:numPr>
      </w:pPr>
      <w:r>
        <w:t xml:space="preserve">Estimate the revenue impact of addressing each conversion barrier.</w:t>
      </w:r>
    </w:p>
    <w:p>
      <w:pPr>
        <w:pStyle w:val="Compact"/>
        <w:numPr>
          <w:ilvl w:val="0"/>
          <w:numId w:val="1006"/>
        </w:numPr>
      </w:pPr>
      <w:r>
        <w:t xml:space="preserve">Develop ROI-driven prioritization for resource deployment.</w:t>
      </w:r>
    </w:p>
    <w:bookmarkEnd w:id="14"/>
    <w:bookmarkEnd w:id="15"/>
    <w:bookmarkStart w:id="24" w:name="approach"/>
    <w:p>
      <w:pPr>
        <w:pStyle w:val="Heading2"/>
      </w:pPr>
      <w:r>
        <w:t xml:space="preserve">Approach</w:t>
      </w:r>
    </w:p>
    <w:p>
      <w:pPr>
        <w:pStyle w:val="FirstParagraph"/>
      </w:pPr>
      <w:r>
        <w:t xml:space="preserve">The general approach for this project will be as follows:</w:t>
      </w:r>
    </w:p>
    <w:bookmarkStart w:id="16" w:name="phase-1-data-onboarding"/>
    <w:p>
      <w:pPr>
        <w:pStyle w:val="Heading3"/>
      </w:pPr>
      <w:r>
        <w:t xml:space="preserve">Phase 1: Data Onboarding</w:t>
      </w:r>
    </w:p>
    <w:p>
      <w:pPr>
        <w:pStyle w:val="FirstParagraph"/>
      </w:pPr>
      <w:r>
        <w:rPr>
          <w:b/>
          <w:bCs/>
        </w:rPr>
        <w:t xml:space="preserve">Receive sample data from Hertz</w:t>
      </w:r>
      <w:r>
        <w:t xml:space="preserve"> </w:t>
      </w:r>
      <w:r>
        <w:t xml:space="preserve">- 1,000 rows across multiple HLES tables (CRESER, CRA001, CSPLIT, TRANSLOG, Conversion)</w:t>
      </w:r>
      <w:r>
        <w:t xml:space="preserve"> </w:t>
      </w:r>
      <w:r>
        <w:t xml:space="preserve">- Familiarize with data formats, field definitions, and table relationships</w:t>
      </w:r>
      <w:r>
        <w:t xml:space="preserve"> </w:t>
      </w:r>
      <w:r>
        <w:t xml:space="preserve">- Build data loading and validation scripts that will work when full production data arrives</w:t>
      </w:r>
      <w:r>
        <w:t xml:space="preserve"> </w:t>
      </w:r>
      <w:r>
        <w:t xml:space="preserve">- Document any data quality issues or gaps discovered in samples</w:t>
      </w:r>
    </w:p>
    <w:bookmarkEnd w:id="16"/>
    <w:bookmarkStart w:id="17" w:name="phase-2-descriptive-analysis"/>
    <w:p>
      <w:pPr>
        <w:pStyle w:val="Heading3"/>
      </w:pPr>
      <w:r>
        <w:t xml:space="preserve">Phase 2: Descriptive Analysis</w:t>
      </w:r>
    </w:p>
    <w:p>
      <w:pPr>
        <w:pStyle w:val="FirstParagraph"/>
      </w:pPr>
      <w:r>
        <w:rPr>
          <w:b/>
          <w:bCs/>
        </w:rPr>
        <w:t xml:space="preserve">Establish baseline understanding of conversion patterns</w:t>
      </w:r>
      <w:r>
        <w:t xml:space="preserve"> </w:t>
      </w:r>
      <w:r>
        <w:t xml:space="preserve">- Calculate overall conversion rate and validate against Hertz’s reported 67-70%</w:t>
      </w:r>
      <w:r>
        <w:t xml:space="preserve"> </w:t>
      </w:r>
      <w:r>
        <w:t xml:space="preserve">- Segment conversion rates by key attributes:</w:t>
      </w:r>
      <w:r>
        <w:t xml:space="preserve"> </w:t>
      </w:r>
      <w:r>
        <w:t xml:space="preserve">- Insurance partner (cdp_name)</w:t>
      </w:r>
      <w:r>
        <w:t xml:space="preserve"> </w:t>
      </w:r>
      <w:r>
        <w:t xml:space="preserve">- Time-to-first-contact (contact_range)</w:t>
      </w:r>
      <w:r>
        <w:t xml:space="preserve"> </w:t>
      </w:r>
      <w:r>
        <w:t xml:space="preserve">- Contact channel (Counter vs HRD vs MMR)</w:t>
      </w:r>
      <w:r>
        <w:t xml:space="preserve"> </w:t>
      </w:r>
      <w:r>
        <w:t xml:space="preserve">- Geography / location</w:t>
      </w:r>
      <w:r>
        <w:t xml:space="preserve"> </w:t>
      </w:r>
      <w:r>
        <w:t xml:space="preserve">- Day of week / time patterns</w:t>
      </w:r>
      <w:r>
        <w:t xml:space="preserve"> </w:t>
      </w:r>
      <w:r>
        <w:t xml:space="preserve">- Identify which segments over/under-perform baseline</w:t>
      </w:r>
    </w:p>
    <w:bookmarkEnd w:id="17"/>
    <w:bookmarkStart w:id="18" w:name="phase-3-hypothesis-testing"/>
    <w:p>
      <w:pPr>
        <w:pStyle w:val="Heading3"/>
      </w:pPr>
      <w:r>
        <w:t xml:space="preserve">Phase 3: Hypothesis Testing</w:t>
      </w:r>
    </w:p>
    <w:p>
      <w:pPr>
        <w:pStyle w:val="FirstParagraph"/>
      </w:pPr>
      <w:r>
        <w:rPr>
          <w:b/>
          <w:bCs/>
        </w:rPr>
        <w:t xml:space="preserve">Systematically test each conversion failure hypothesis</w:t>
      </w:r>
    </w:p>
    <w:p>
      <w:pPr>
        <w:pStyle w:val="BodyText"/>
      </w:pPr>
      <w:r>
        <w:t xml:space="preserve">Work through hypotheses documented in</w:t>
      </w:r>
      <w:r>
        <w:t xml:space="preserve"> </w:t>
      </w:r>
      <w:r>
        <w:rPr>
          <w:rStyle w:val="VerbatimChar"/>
        </w:rPr>
        <w:t xml:space="preserve">@docs/hypotheses.md</w:t>
      </w:r>
      <w:r>
        <w:t xml:space="preserve"> </w:t>
      </w:r>
      <w:r>
        <w:t xml:space="preserve">using the hypothesis tester agent.</w:t>
      </w:r>
    </w:p>
    <w:bookmarkEnd w:id="18"/>
    <w:bookmarkStart w:id="19" w:name="Xdb2cf6ccddcfe852f170f4d49e402cee7916b71"/>
    <w:p>
      <w:pPr>
        <w:pStyle w:val="Heading3"/>
      </w:pPr>
      <w:r>
        <w:t xml:space="preserve">Phase 3A: Call Quality Analysis (New - HRD Call Center Data)</w:t>
      </w:r>
    </w:p>
    <w:p>
      <w:pPr>
        <w:pStyle w:val="FirstParagraph"/>
      </w:pPr>
      <w:r>
        <w:rPr>
          <w:b/>
          <w:bCs/>
        </w:rPr>
        <w:t xml:space="preserve">Analyze HRD call center operations and quality patterns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: HRD call recording data received (1,000 calls, Nov 1-7, 2025). Cannot directly join to HLES conversion data, but provides valuable operational insights.</w:t>
      </w:r>
    </w:p>
    <w:p>
      <w:pPr>
        <w:pStyle w:val="BodyText"/>
      </w:pPr>
      <w:r>
        <w:rPr>
          <w:b/>
          <w:bCs/>
        </w:rPr>
        <w:t xml:space="preserve">Analysis objectives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 performance benchmarking</w:t>
      </w:r>
      <w:r>
        <w:t xml:space="preserve">: Identify top/bottom performers, document best practices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Call quality patterns</w:t>
      </w:r>
      <w:r>
        <w:t xml:space="preserve">: Analyze completion rates, hold times, technical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Temporal optimization</w:t>
      </w:r>
      <w:r>
        <w:t xml:space="preserve">: Identify optimal calling hours, avoid low-performance periods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Operational issues</w:t>
      </w:r>
      <w:r>
        <w:t xml:space="preserve">: Multi-call attempts, transfer failures, telephony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Triangulation with HLES</w:t>
      </w:r>
      <w:r>
        <w:t xml:space="preserve">: Correlate aggregate call quality patterns with conversion trends for same time period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Call quality analysis notebook (</w:t>
      </w:r>
      <w:r>
        <w:rPr>
          <w:rStyle w:val="VerbatimChar"/>
        </w:rPr>
        <w:t xml:space="preserve">notebooks/04_call_quality_analysis.ipynb</w:t>
      </w:r>
      <w:r>
        <w:t xml:space="preserve">)</w:t>
      </w:r>
      <w:r>
        <w:t xml:space="preserve"> </w:t>
      </w:r>
      <w:r>
        <w:t xml:space="preserve">- Agent performance rankings and training recommendations</w:t>
      </w:r>
      <w:r>
        <w:t xml:space="preserve"> </w:t>
      </w:r>
      <w:r>
        <w:t xml:space="preserve">- Operational improvement recommendations (call attempt limits, hold time alerts, telephony fixes)</w:t>
      </w:r>
      <w:r>
        <w:t xml:space="preserve"> </w:t>
      </w:r>
      <w:r>
        <w:t xml:space="preserve">- Stakeholder interview questions based on call data patterns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No direct conversion indicator in call data (disposition codes 100% null)</w:t>
      </w:r>
      <w:r>
        <w:t xml:space="preserve"> </w:t>
      </w:r>
      <w:r>
        <w:t xml:space="preserve">- No join key to link individual calls to HLES conversion outcomes</w:t>
      </w:r>
      <w:r>
        <w:t xml:space="preserve"> </w:t>
      </w:r>
      <w:r>
        <w:t xml:space="preserve">- Analysis relies on temporal triangulation and aggregate pattern correlation</w:t>
      </w:r>
    </w:p>
    <w:bookmarkEnd w:id="19"/>
    <w:bookmarkStart w:id="20" w:name="phase-4-insights-synthesis"/>
    <w:p>
      <w:pPr>
        <w:pStyle w:val="Heading3"/>
      </w:pPr>
      <w:r>
        <w:t xml:space="preserve">Phase 4: Insights Synthesis</w:t>
      </w:r>
    </w:p>
    <w:p>
      <w:pPr>
        <w:pStyle w:val="FirstParagraph"/>
      </w:pPr>
      <w:r>
        <w:rPr>
          <w:b/>
          <w:bCs/>
        </w:rPr>
        <w:t xml:space="preserve">Compile findings into actionable deliverables</w:t>
      </w:r>
      <w:r>
        <w:t xml:space="preserve"> </w:t>
      </w:r>
      <w:r>
        <w:t xml:space="preserve">- Consolidate all hypothesis tests into a master Jupyter notebook</w:t>
      </w:r>
      <w:r>
        <w:t xml:space="preserve"> </w:t>
      </w:r>
      <w:r>
        <w:t xml:space="preserve">- Rank failure modes by estimated conversion impact</w:t>
      </w:r>
      <w:r>
        <w:t xml:space="preserve"> </w:t>
      </w:r>
      <w:r>
        <w:t xml:space="preserve">- Identify top 3-5 drivers of lost conversions with quantified uplift potential</w:t>
      </w:r>
    </w:p>
    <w:bookmarkEnd w:id="20"/>
    <w:bookmarkStart w:id="21" w:name="Xf3ee8346d6de6a9cc533c7f45a50aaab33b6a05"/>
    <w:p>
      <w:pPr>
        <w:pStyle w:val="Heading3"/>
      </w:pPr>
      <w:r>
        <w:t xml:space="preserve">Phase 5: Stakeholder Interview Preparation</w:t>
      </w:r>
    </w:p>
    <w:p>
      <w:pPr>
        <w:pStyle w:val="FirstParagraph"/>
      </w:pPr>
      <w:r>
        <w:rPr>
          <w:b/>
          <w:bCs/>
        </w:rPr>
        <w:t xml:space="preserve">Use data insights to brief survey questionnaire</w:t>
      </w:r>
      <w:r>
        <w:t xml:space="preserve"> </w:t>
      </w:r>
      <w:r>
        <w:t xml:space="preserve">- Translate quantitative findings into targeted questions for field teams</w:t>
      </w:r>
      <w:r>
        <w:t xml:space="preserve"> </w:t>
      </w:r>
      <w:r>
        <w:t xml:space="preserve">- Focus on understanding the</w:t>
      </w:r>
      <w:r>
        <w:t xml:space="preserve"> </w:t>
      </w:r>
      <w:r>
        <w:t xml:space="preserve">“why”</w:t>
      </w:r>
      <w:r>
        <w:t xml:space="preserve"> </w:t>
      </w:r>
      <w:r>
        <w:t xml:space="preserve">behind the patterns observed in data</w:t>
      </w:r>
      <w:r>
        <w:t xml:space="preserve"> </w:t>
      </w:r>
      <w:r>
        <w:t xml:space="preserve">- Prepare specific scenarios to validate with HRD, counter staff, and field leadership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Incorporate call quality insights</w:t>
      </w:r>
      <w:r>
        <w:t xml:space="preserve">:</w:t>
      </w:r>
      <w:r>
        <w:t xml:space="preserve"> </w:t>
      </w:r>
      <w:r>
        <w:t xml:space="preserve">- Agent performance variance (4.6x difference between top/bottom performers)</w:t>
      </w:r>
      <w:r>
        <w:t xml:space="preserve"> </w:t>
      </w:r>
      <w:r>
        <w:t xml:space="preserve">- Hour 13 performance drop (54% customer hang-ups) - shift change? lunch break?</w:t>
      </w:r>
      <w:r>
        <w:t xml:space="preserve"> </w:t>
      </w:r>
      <w:r>
        <w:t xml:space="preserve">- Multi-call attempt policies (one customer received 63 calls)</w:t>
      </w:r>
      <w:r>
        <w:t xml:space="preserve"> </w:t>
      </w:r>
      <w:r>
        <w:t xml:space="preserve">- Telephony technical issues (6.7% agent phone disconnects)</w:t>
      </w:r>
      <w:r>
        <w:t xml:space="preserve"> </w:t>
      </w:r>
      <w:r>
        <w:t xml:space="preserve">- Team ROUPE vs ROSS effectiveness differences</w:t>
      </w:r>
    </w:p>
    <w:bookmarkEnd w:id="21"/>
    <w:bookmarkStart w:id="22" w:name="phase-6-stakeholder-interviews"/>
    <w:p>
      <w:pPr>
        <w:pStyle w:val="Heading3"/>
      </w:pPr>
      <w:r>
        <w:t xml:space="preserve">Phase 6: Stakeholder Interviews</w:t>
      </w:r>
    </w:p>
    <w:p>
      <w:pPr>
        <w:pStyle w:val="FirstParagraph"/>
      </w:pPr>
      <w:r>
        <w:rPr>
          <w:b/>
          <w:bCs/>
        </w:rPr>
        <w:t xml:space="preserve">Ground-truth findings with operational reality</w:t>
      </w:r>
      <w:r>
        <w:t xml:space="preserve"> </w:t>
      </w:r>
      <w:r>
        <w:t xml:space="preserve">- Interview outbound calling desk (HRD) on contact process and barriers</w:t>
      </w:r>
      <w:r>
        <w:t xml:space="preserve"> </w:t>
      </w:r>
      <w:r>
        <w:t xml:space="preserve">- Interview counter/location staff on walk-up vs. pre-booked conversion</w:t>
      </w:r>
      <w:r>
        <w:t xml:space="preserve"> </w:t>
      </w:r>
      <w:r>
        <w:t xml:space="preserve">- Interview field leadership on resource constraints and competitive dynamics</w:t>
      </w:r>
      <w:r>
        <w:t xml:space="preserve"> </w:t>
      </w:r>
      <w:r>
        <w:t xml:space="preserve">- Capture anecdotes that explain or contradict data findings</w:t>
      </w:r>
    </w:p>
    <w:bookmarkEnd w:id="22"/>
    <w:bookmarkStart w:id="23" w:name="phase-7-experiment-design"/>
    <w:p>
      <w:pPr>
        <w:pStyle w:val="Heading3"/>
      </w:pPr>
      <w:r>
        <w:t xml:space="preserve">Phase 7: Experiment Design</w:t>
      </w:r>
    </w:p>
    <w:p>
      <w:pPr>
        <w:pStyle w:val="FirstParagraph"/>
      </w:pPr>
      <w:r>
        <w:rPr>
          <w:b/>
          <w:bCs/>
        </w:rPr>
        <w:t xml:space="preserve">Craft interventions based on validated insights</w:t>
      </w:r>
      <w:r>
        <w:t xml:space="preserve"> </w:t>
      </w:r>
      <w:r>
        <w:t xml:space="preserve">- Prioritize failure modes by: revenue impact × feasibility × speed-to-implement</w:t>
      </w:r>
      <w:r>
        <w:t xml:space="preserve"> </w:t>
      </w:r>
      <w:r>
        <w:t xml:space="preserve">- Design A/B test frameworks for quick-win interventions (3-6 month horizon)</w:t>
      </w:r>
      <w:r>
        <w:t xml:space="preserve"> </w:t>
      </w:r>
      <w:r>
        <w:t xml:space="preserve">- Outline</w:t>
      </w:r>
      <w:r>
        <w:t xml:space="preserve"> </w:t>
      </w:r>
      <w:r>
        <w:t xml:space="preserve">“big rock”</w:t>
      </w:r>
      <w:r>
        <w:t xml:space="preserve"> </w:t>
      </w:r>
      <w:r>
        <w:t xml:space="preserve">initiatives requiring longer investment (2026 roadmap)</w:t>
      </w:r>
      <w:r>
        <w:t xml:space="preserve"> </w:t>
      </w:r>
      <w:r>
        <w:t xml:space="preserve">- Develop ROI projections for each proposed intervention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2026-01-06T17:10:01Z</dcterms:created>
  <dcterms:modified xsi:type="dcterms:W3CDTF">2026-01-06T17:10:01Z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