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IR Project — Conversion Metrics Compilation</w:t>
      </w:r>
    </w:p>
    <w:p>
      <w:r>
        <w:t>This document consolidates all notes related to conversion metrics from the IR project summaries. It includes definitions, KPIs, logic, data sources, and considerations mentioned across the 17 files.</w:t>
      </w:r>
    </w:p>
    <w:p>
      <w:pPr>
        <w:pStyle w:val="Heading2"/>
      </w:pPr>
      <w:r>
        <w:t>1) Conversion Definition</w:t>
      </w:r>
    </w:p>
    <w:p>
      <w:r>
        <w:t>Conversion is defined as a reservation that results in a rental transaction. Presence of KNUM in CSPLIT or CRA001 indicates conversion occurred.</w:t>
      </w:r>
    </w:p>
    <w:p>
      <w:r>
        <w:t>Unique record grain often set to CONFIRM_NUM + Initial_Date for consistency in lead-to-conversion trail.</w:t>
      </w:r>
    </w:p>
    <w:p>
      <w:pPr>
        <w:pStyle w:val="Heading2"/>
      </w:pPr>
      <w:r>
        <w:t>2) Key KPIs for Conversion</w:t>
      </w:r>
    </w:p>
    <w:p>
      <w:pPr>
        <w:pStyle w:val="ListBullet"/>
      </w:pPr>
      <w:r>
        <w:t>Overall conversion rate (reservations → rentals).</w:t>
      </w:r>
    </w:p>
    <w:p>
      <w:pPr>
        <w:pStyle w:val="ListBullet"/>
      </w:pPr>
      <w:r>
        <w:t>Conversion % by insurance company (e.g., State Farm, Geico).</w:t>
      </w:r>
    </w:p>
    <w:p>
      <w:pPr>
        <w:pStyle w:val="ListBullet"/>
      </w:pPr>
      <w:r>
        <w:t>Conversion % by branch/location.</w:t>
      </w:r>
    </w:p>
    <w:p>
      <w:pPr>
        <w:pStyle w:val="ListBullet"/>
      </w:pPr>
      <w:r>
        <w:t>Conversion % by month and over time (Day 0, Day 1, etc.).</w:t>
      </w:r>
    </w:p>
    <w:p>
      <w:pPr>
        <w:pStyle w:val="ListBullet"/>
      </w:pPr>
      <w:r>
        <w:t>Conversion % by state.</w:t>
      </w:r>
    </w:p>
    <w:p>
      <w:pPr>
        <w:pStyle w:val="ListBullet"/>
      </w:pPr>
      <w:r>
        <w:t>Conversion by body shop conglomerates.</w:t>
      </w:r>
    </w:p>
    <w:p>
      <w:pPr>
        <w:pStyle w:val="ListBullet"/>
      </w:pPr>
      <w:r>
        <w:t>Conversion by authorization amount bucket.</w:t>
      </w:r>
    </w:p>
    <w:p>
      <w:pPr>
        <w:pStyle w:val="ListBullet"/>
      </w:pPr>
      <w:r>
        <w:t>Conversion by car class requested vs. assigned.</w:t>
      </w:r>
    </w:p>
    <w:p>
      <w:pPr>
        <w:pStyle w:val="ListBullet"/>
      </w:pPr>
      <w:r>
        <w:t>Conversion by contact type (HRD vs Counter vs No Contact).</w:t>
      </w:r>
    </w:p>
    <w:p>
      <w:pPr>
        <w:pStyle w:val="ListBullet"/>
      </w:pPr>
      <w:r>
        <w:t>Conversion for high authorization amount rentals.</w:t>
      </w:r>
    </w:p>
    <w:p>
      <w:pPr>
        <w:pStyle w:val="ListBullet"/>
      </w:pPr>
      <w:r>
        <w:t>MMR conversion (self-service check-in completion).</w:t>
      </w:r>
    </w:p>
    <w:p>
      <w:pPr>
        <w:pStyle w:val="Heading2"/>
      </w:pPr>
      <w:r>
        <w:t>3) Data Sources</w:t>
      </w:r>
    </w:p>
    <w:p>
      <w:pPr>
        <w:pStyle w:val="ListBullet"/>
      </w:pPr>
      <w:r>
        <w:t>HLES tables: CRESER (reservations), CSPLIT (split billing, KNUM presence), CRA001 (contract details).</w:t>
      </w:r>
    </w:p>
    <w:p>
      <w:pPr>
        <w:pStyle w:val="ListBullet"/>
      </w:pPr>
      <w:r>
        <w:t>Translog: Event codes for contact events, MMR completion, warm transfers.</w:t>
      </w:r>
    </w:p>
    <w:p>
      <w:pPr>
        <w:pStyle w:val="ListBullet"/>
      </w:pPr>
      <w:r>
        <w:t>RAC_Directory: Branch/location mapping.</w:t>
      </w:r>
    </w:p>
    <w:p>
      <w:pPr>
        <w:pStyle w:val="ListBullet"/>
      </w:pPr>
      <w:r>
        <w:t>CPAY: Customer vs insurer payment split for copay analysis.</w:t>
      </w:r>
    </w:p>
    <w:p>
      <w:pPr>
        <w:pStyle w:val="ListBullet"/>
      </w:pPr>
      <w:r>
        <w:t>HIRMS: Body shop and insurer linkage for open contracts.</w:t>
      </w:r>
    </w:p>
    <w:p>
      <w:pPr>
        <w:pStyle w:val="ListBullet"/>
      </w:pPr>
      <w:r>
        <w:t>AWS texting metadata: Needed for outbound text success and timestamps (not yet integrated).</w:t>
      </w:r>
    </w:p>
    <w:p>
      <w:pPr>
        <w:pStyle w:val="ListBullet"/>
      </w:pPr>
      <w:r>
        <w:t>Tableau dashboards: Conversion funnel, cohort analysis, event timelines.</w:t>
      </w:r>
    </w:p>
    <w:p>
      <w:pPr>
        <w:pStyle w:val="Heading2"/>
      </w:pPr>
      <w:r>
        <w:t>4) Logic &amp; Calculation Details</w:t>
      </w:r>
    </w:p>
    <w:p>
      <w:pPr>
        <w:pStyle w:val="ListBullet"/>
      </w:pPr>
      <w:r>
        <w:t>Conversion determination: Reservation → Rental when KNUM exists in CSPLIT/CRA001.</w:t>
      </w:r>
    </w:p>
    <w:p>
      <w:pPr>
        <w:pStyle w:val="ListBullet"/>
      </w:pPr>
      <w:r>
        <w:t>RPD (Revenue per Day) = Total bill ÷ Days; include taxes and fees for accurate comparison.</w:t>
      </w:r>
    </w:p>
    <w:p>
      <w:pPr>
        <w:pStyle w:val="ListBullet"/>
      </w:pPr>
      <w:r>
        <w:t>Contact tagging: HRD vs Counter using EVENTTYPE/BGN01 codes in Translog.</w:t>
      </w:r>
    </w:p>
    <w:p>
      <w:pPr>
        <w:pStyle w:val="ListBullet"/>
      </w:pPr>
      <w:r>
        <w:t>MMR completion flag parsed from MSG10 in Translog.</w:t>
      </w:r>
    </w:p>
    <w:p>
      <w:pPr>
        <w:pStyle w:val="ListBullet"/>
      </w:pPr>
      <w:r>
        <w:t>Policy Max Flag should include taxes &amp; fees; consider AuthAmtPerDay and per-policy limits.</w:t>
      </w:r>
    </w:p>
    <w:p>
      <w:pPr>
        <w:pStyle w:val="ListBullet"/>
      </w:pPr>
      <w:r>
        <w:t>Partition CSPLIT by CONFIRM_NUM and Initial_Date; filter Translog application dates within 30–90 days of Initial_Date.</w:t>
      </w:r>
    </w:p>
    <w:p>
      <w:pPr>
        <w:pStyle w:val="Heading2"/>
      </w:pPr>
      <w:r>
        <w:t>5) Considerations &amp; Caveats</w:t>
      </w:r>
    </w:p>
    <w:p>
      <w:pPr>
        <w:pStyle w:val="ListBullet"/>
      </w:pPr>
      <w:r>
        <w:t>Cancellation reasons often missing; limits ability to analyze non-conversion causes.</w:t>
      </w:r>
    </w:p>
    <w:p>
      <w:pPr>
        <w:pStyle w:val="ListBullet"/>
      </w:pPr>
      <w:r>
        <w:t>Outbound texting and digital self-service behavior not fully logged in HLES; AWS integration required.</w:t>
      </w:r>
    </w:p>
    <w:p>
      <w:pPr>
        <w:pStyle w:val="ListBullet"/>
      </w:pPr>
      <w:r>
        <w:t>Branch-level call recordings and transcripts not available; qualitative insights limited.</w:t>
      </w:r>
    </w:p>
    <w:p>
      <w:pPr>
        <w:pStyle w:val="ListBullet"/>
      </w:pPr>
      <w:r>
        <w:t>Fleet mismatches (reserved vs assigned car class) impact conversion and require separate analysis.</w:t>
      </w:r>
    </w:p>
    <w:p>
      <w:pPr>
        <w:pStyle w:val="ListBullet"/>
      </w:pPr>
      <w:r>
        <w:t>Location closures and operational changes can skew branch-level conversion metrics.</w:t>
      </w:r>
    </w:p>
    <w:p>
      <w:pPr>
        <w:pStyle w:val="ListBullet"/>
      </w:pPr>
      <w:r>
        <w:t>KPI misalignment (e.g., UTE gaming) may distort conversion-related behaviors.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