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766E"/>
          <w:sz w:val="32"/>
        </w:rPr>
        <w:t>UNIVERSIDAD TECNOLÓGICA DEL CENTRO DE VERACRUZ</w:t>
      </w:r>
    </w:p>
    <w:p>
      <w:pPr>
        <w:spacing w:after="600"/>
        <w:jc w:val="center"/>
      </w:pPr>
      <w:r>
        <w:rPr>
          <w:color w:val="6B7280"/>
          <w:sz w:val="22"/>
        </w:rPr>
        <w:t>TI Desarrollo de Software Multiplataforma — AsmaSync</w:t>
      </w:r>
    </w:p>
    <w:p>
      <w:pPr>
        <w:spacing w:before="400" w:after="200"/>
        <w:jc w:val="center"/>
      </w:pPr>
      <w:r>
        <w:rPr>
          <w:b/>
          <w:color w:val="1E3A8A"/>
          <w:sz w:val="44"/>
        </w:rPr>
        <w:t>Guía Oficial de Instalación y Despliegue</w:t>
      </w:r>
    </w:p>
    <w:p>
      <w:pPr>
        <w:spacing w:after="800"/>
        <w:jc w:val="center"/>
      </w:pPr>
      <w:r>
        <w:rPr>
          <w:color w:val="4B5563"/>
          <w:sz w:val="26"/>
        </w:rPr>
        <w:t>Manual Técnico de Despliegue en Entornos Docker</w:t>
      </w:r>
    </w:p>
    <w:p>
      <w:pPr>
        <w:spacing w:before="1600" w:line="312" w:lineRule="auto"/>
        <w:jc w:val="center"/>
      </w:pPr>
      <w:r>
        <w:rPr>
          <w:color w:val="4B5563"/>
          <w:sz w:val="21"/>
        </w:rPr>
        <w:t>Fase 6: Despliegue (F6_DESPLIEGUE)</w:t>
        <w:br/>
        <w:t>Materia: Proyecto Integrador</w:t>
        <w:br/>
        <w:t>Cuitláhuac, Veracruz, México — 2026</w:t>
      </w:r>
    </w:p>
    <w:p>
      <w:r>
        <w:br w:type="page"/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1. Requisitos Previos del Sistema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Para garantizar el funcionamiento óptimo del ecosistema AsmaSync en entornos de prueba o producción, la infraestructura receptora debe cumplir con las siguientes especificaciones técnicas de hardware y software: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Hardware Mínimo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Procesador Dual-Core 2.0 GHz, 8 GB de memoria RAM (16 GB recomendados) y 15 GB de espacio en disco de estado sólido.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Docker &amp; Docker Compose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Se requiere Docker Desktop 4.20+ con soporte habilitado para contenedores Linux y Docker Compose v2.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Conectividad de Red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Puertos 80 (HTTP), 8000 (API FastAPI) y 5432 (PostgreSQL) disponibles sin bloqueo de firewall.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2. Procedimiento de Despliegue Automatizado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El proceso de instalación se encuentra totalmente estructurado mediante scripts de automatización e imágenes multi-stage que garantizan la reproducibilidad del entorno: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Paso 1: Clonado del Repositorio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Descargar el código fuente oficial desde GitHub mediante git clone.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Paso 2: Configuración de Entorno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Renombrar .env.example a .env y definir credenciales de seguridad (SECRET_KEY y contraseñas de base de datos).</w:t>
      </w:r>
    </w:p>
    <w:p>
      <w:pPr>
        <w:pStyle w:val="ListBullet"/>
        <w:spacing w:after="80" w:line="276" w:lineRule="auto"/>
        <w:jc w:val="both"/>
      </w:pPr>
      <w:r>
        <w:rPr>
          <w:rFonts w:ascii="Segoe UI" w:hAnsi="Segoe UI"/>
          <w:b/>
          <w:color w:val="1E3A8A"/>
          <w:sz w:val="22"/>
        </w:rPr>
        <w:t>Paso 3: Construcción e Invocación</w:t>
      </w:r>
      <w:r>
        <w:rPr>
          <w:rFonts w:ascii="Segoe UI" w:hAnsi="Segoe UI"/>
          <w:b/>
          <w:sz w:val="22"/>
        </w:rPr>
        <w:t xml:space="preserve">: </w:t>
      </w:r>
      <w:r>
        <w:rPr>
          <w:rFonts w:ascii="Segoe UI" w:hAnsi="Segoe UI"/>
          <w:color w:val="374151"/>
          <w:sz w:val="22"/>
        </w:rPr>
        <w:t>Ejecutar install.sh en plataformas Unix/Linux o install.bat en sistemas Microsoft Windows.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3. Verificación y Monitoreo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Posterior a la ejecución, se debe comprobar el estado de los contenedores ejecutando 'docker-compose ps'. El frontend estará disponible en http://localhost y la API en http://localhost:8000/docs.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