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F766E"/>
          <w:sz w:val="32"/>
        </w:rPr>
        <w:t>UNIVERSIDAD TECNOLÓGICA DEL CENTRO DE VERACRUZ</w:t>
      </w:r>
    </w:p>
    <w:p>
      <w:pPr>
        <w:spacing w:after="600"/>
        <w:jc w:val="center"/>
      </w:pPr>
      <w:r>
        <w:rPr>
          <w:color w:val="6B7280"/>
          <w:sz w:val="22"/>
        </w:rPr>
        <w:t>TI Desarrollo de Software Multiplataforma — AsmaSync</w:t>
      </w:r>
    </w:p>
    <w:p>
      <w:pPr>
        <w:spacing w:before="400" w:after="200"/>
        <w:jc w:val="center"/>
      </w:pPr>
      <w:r>
        <w:rPr>
          <w:b/>
          <w:color w:val="1E3A8A"/>
          <w:sz w:val="44"/>
        </w:rPr>
        <w:t>Manual de Usuario del Sistema</w:t>
      </w:r>
    </w:p>
    <w:p>
      <w:pPr>
        <w:spacing w:after="800"/>
        <w:jc w:val="center"/>
      </w:pPr>
      <w:r>
        <w:rPr>
          <w:color w:val="4B5563"/>
          <w:sz w:val="26"/>
        </w:rPr>
        <w:t>Guía Operativa para Médicos y Pacientes — AsmaSync</w:t>
      </w:r>
    </w:p>
    <w:p>
      <w:pPr>
        <w:spacing w:before="1600" w:line="312" w:lineRule="auto"/>
        <w:jc w:val="center"/>
      </w:pPr>
      <w:r>
        <w:rPr>
          <w:color w:val="4B5563"/>
          <w:sz w:val="21"/>
        </w:rPr>
        <w:t>Fase 6: Despliegue (F6_DESPLIEGUE)</w:t>
        <w:br/>
        <w:t>Materia: Proyecto Integrador</w:t>
        <w:br/>
        <w:t>Cuitláhuac, Veracruz, México — 2026</w:t>
      </w:r>
    </w:p>
    <w:p>
      <w:r>
        <w:br w:type="page"/>
      </w:r>
    </w:p>
    <w:p>
      <w:pPr>
        <w:keepNext/>
        <w:spacing w:before="400" w:after="160"/>
        <w:pBdr>
          <w:bottom w:val="single" w:sz="12" w:space="4" w:color="3B82F6"/>
        </w:pBdr>
      </w:pPr>
      <w:r>
        <w:rPr>
          <w:rFonts w:ascii="Segoe UI" w:hAnsi="Segoe UI"/>
          <w:b/>
          <w:color w:val="1E3A8A"/>
          <w:sz w:val="32"/>
        </w:rPr>
        <w:t>1. Introducción al Dashboard AsmaSync</w:t>
      </w:r>
    </w:p>
    <w:p>
      <w:pPr>
        <w:spacing w:after="160" w:line="276" w:lineRule="auto"/>
        <w:ind w:firstLine="576"/>
        <w:jc w:val="both"/>
      </w:pPr>
      <w:r>
        <w:rPr>
          <w:rFonts w:ascii="Segoe UI" w:hAnsi="Segoe UI"/>
          <w:color w:val="1F2937"/>
          <w:sz w:val="22"/>
        </w:rPr>
        <w:t>El Dashboard AsmaSync es una plataforma clínica avanzada diseñada para permitir a los profesionales de la salud monitorear la salud respiratoria de sus pacientes asmáticos en tiempo real. La interfaz ofrece visualización gráfica de lecturas biométricas, alertas tempranas de crisis y gestión de expedientes clínicos.</w:t>
      </w:r>
    </w:p>
    <w:p>
      <w:pPr>
        <w:keepNext/>
        <w:spacing w:before="400" w:after="160"/>
        <w:pBdr>
          <w:bottom w:val="single" w:sz="12" w:space="4" w:color="3B82F6"/>
        </w:pBdr>
      </w:pPr>
      <w:r>
        <w:rPr>
          <w:rFonts w:ascii="Segoe UI" w:hAnsi="Segoe UI"/>
          <w:b/>
          <w:color w:val="1E3A8A"/>
          <w:sz w:val="32"/>
        </w:rPr>
        <w:t>2. Acceso y Autenticación Segura (2FA)</w:t>
      </w:r>
    </w:p>
    <w:p>
      <w:pPr>
        <w:spacing w:after="160" w:line="276" w:lineRule="auto"/>
        <w:ind w:firstLine="576"/>
        <w:jc w:val="both"/>
      </w:pPr>
      <w:r>
        <w:rPr>
          <w:rFonts w:ascii="Segoe UI" w:hAnsi="Segoe UI"/>
          <w:color w:val="1F2937"/>
          <w:sz w:val="22"/>
        </w:rPr>
        <w:t>El sistema cuenta con un robusto esquema de seguridad de dos factores. Tras ingresar el usuario y la contraseña, el sistema solicita un código de verificación de dos dígitos que es enviado al correo electrónico del médico. Adicionalmente, el sistema se bloquea automáticamente tras tres intentos fallidos consecutivos.</w:t>
      </w:r>
    </w:p>
    <w:p>
      <w:pPr>
        <w:keepNext/>
        <w:spacing w:before="400" w:after="160"/>
        <w:pBdr>
          <w:bottom w:val="single" w:sz="12" w:space="4" w:color="3B82F6"/>
        </w:pBdr>
      </w:pPr>
      <w:r>
        <w:rPr>
          <w:rFonts w:ascii="Segoe UI" w:hAnsi="Segoe UI"/>
          <w:b/>
          <w:color w:val="1E3A8A"/>
          <w:sz w:val="32"/>
        </w:rPr>
        <w:t>3. Monitoreo de Lecturas y Alertas de Crisis</w:t>
      </w:r>
    </w:p>
    <w:p>
      <w:pPr>
        <w:spacing w:after="160" w:line="276" w:lineRule="auto"/>
        <w:ind w:firstLine="576"/>
        <w:jc w:val="both"/>
      </w:pPr>
      <w:r>
        <w:rPr>
          <w:rFonts w:ascii="Segoe UI" w:hAnsi="Segoe UI"/>
          <w:color w:val="1F2937"/>
          <w:sz w:val="22"/>
        </w:rPr>
        <w:t>En el panel principal, el médico puede observar los niveles de saturación de oxígeno (SpO2) y flujo espiratorio pico (PEF). Si los valores caen por debajo de los umbrales de seguridad, el sistema genera automáticamente una alerta de riesgo clasificando el nivel en Verde (Estable), Amarillo (Alerta) o Rojo (Crisis Inminente).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