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F766E"/>
          <w:sz w:val="32"/>
        </w:rPr>
        <w:t>UNIVERSIDAD TECNOLÓGICA DEL CENTRO DE VERACRUZ</w:t>
      </w:r>
    </w:p>
    <w:p>
      <w:pPr>
        <w:spacing w:after="600"/>
        <w:jc w:val="center"/>
      </w:pPr>
      <w:r>
        <w:rPr>
          <w:color w:val="6B7280"/>
          <w:sz w:val="22"/>
        </w:rPr>
        <w:t>TI Desarrollo de Software Multiplataforma — AsmaSync</w:t>
      </w:r>
    </w:p>
    <w:p>
      <w:pPr>
        <w:spacing w:before="400" w:after="200"/>
        <w:jc w:val="center"/>
      </w:pPr>
      <w:r>
        <w:rPr>
          <w:b/>
          <w:color w:val="1E3A8A"/>
          <w:sz w:val="44"/>
        </w:rPr>
        <w:t>Manual Técnico y de Administración</w:t>
      </w:r>
    </w:p>
    <w:p>
      <w:pPr>
        <w:spacing w:after="800"/>
        <w:jc w:val="center"/>
      </w:pPr>
      <w:r>
        <w:rPr>
          <w:color w:val="4B5563"/>
          <w:sz w:val="26"/>
        </w:rPr>
        <w:t>Especificaciones de Arquitectura, Base de Datos y Administración</w:t>
      </w:r>
    </w:p>
    <w:p>
      <w:pPr>
        <w:spacing w:before="1600" w:line="312" w:lineRule="auto"/>
        <w:jc w:val="center"/>
      </w:pPr>
      <w:r>
        <w:rPr>
          <w:color w:val="4B5563"/>
          <w:sz w:val="21"/>
        </w:rPr>
        <w:t>Fase 6: Despliegue (F6_DESPLIEGUE)</w:t>
        <w:br/>
        <w:t>Materia: Proyecto Integrador</w:t>
        <w:br/>
        <w:t>Cuitláhuac, Veracruz, México — 2026</w:t>
      </w:r>
    </w:p>
    <w:p>
      <w:r>
        <w:br w:type="page"/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1. Arquitectura de Software y Microservicios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El sistema AsmaSync se encuentra estructurado en tres capas independientes: la capa de cliente en Angular 17/Flutter, la capa de servicios backend en FastAPI con modelo predictivo de IA en Scikit-Learn, y la capa de datos compuesta por PostgreSQL 15 y Redis 7.</w:t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2. Seguridad y Cumplimiento Normativo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Cumpliendo con la norma mexicana NOM-004-SSA3-2012 y los estándares internacionales HIPAA/GDPR, todos los datos médicos se cifran en tránsito mediante TLS 1.3 y en reposo aplicando AES-256. El sistema mantiene logs inmutables de auditoría en la tabla audit_logs.</w:t>
      </w:r>
    </w:p>
    <w:p>
      <w:pPr>
        <w:keepNext/>
        <w:spacing w:before="400" w:after="160"/>
        <w:pBdr>
          <w:bottom w:val="single" w:sz="12" w:space="4" w:color="3B82F6"/>
        </w:pBdr>
      </w:pPr>
      <w:r>
        <w:rPr>
          <w:rFonts w:ascii="Segoe UI" w:hAnsi="Segoe UI"/>
          <w:b/>
          <w:color w:val="1E3A8A"/>
          <w:sz w:val="32"/>
        </w:rPr>
        <w:t>3. Administración y Respaldos</w:t>
      </w:r>
    </w:p>
    <w:p>
      <w:pPr>
        <w:spacing w:after="160" w:line="276" w:lineRule="auto"/>
        <w:ind w:firstLine="576"/>
        <w:jc w:val="both"/>
      </w:pPr>
      <w:r>
        <w:rPr>
          <w:rFonts w:ascii="Segoe UI" w:hAnsi="Segoe UI"/>
          <w:color w:val="1F2937"/>
          <w:sz w:val="22"/>
        </w:rPr>
        <w:t>Se deben ejecutar respaldos diarios de la base de datos PostgreSQL utilizando pg_dump, manteniendo copias rotativas por 30 días para prevenir pérdida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