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F766E"/>
          <w:sz w:val="32"/>
        </w:rPr>
        <w:t>UNIVERSIDAD TECNOLÓGICA DEL CENTRO DE VERACRUZ</w:t>
      </w:r>
    </w:p>
    <w:p>
      <w:pPr>
        <w:spacing w:after="800"/>
        <w:jc w:val="center"/>
      </w:pPr>
      <w:r>
        <w:rPr>
          <w:color w:val="6B7280"/>
          <w:sz w:val="22"/>
        </w:rPr>
        <w:t>TI Desarrollo de Software Multiplataforma</w:t>
      </w:r>
    </w:p>
    <w:p>
      <w:pPr>
        <w:spacing w:before="600" w:after="800"/>
        <w:jc w:val="center"/>
      </w:pPr>
      <w:r>
        <w:rPr>
          <w:b/>
          <w:color w:val="1E3A8A"/>
          <w:sz w:val="44"/>
        </w:rPr>
        <w:t>Plan de Liberación de Software — AsmaSync</w:t>
        <w:br/>
        <w:t>Proyecto Integrador: Sistema de Monitoreo del Asma</w:t>
      </w:r>
    </w:p>
    <w:p>
      <w:pPr>
        <w:spacing w:before="2000" w:line="312" w:lineRule="auto"/>
        <w:jc w:val="center"/>
      </w:pPr>
      <w:r>
        <w:rPr>
          <w:color w:val="4B5563"/>
          <w:sz w:val="21"/>
        </w:rPr>
        <w:t>Entregable: Plan de Liberación (Actividad 8) — Segundo Parcial</w:t>
        <w:br/>
        <w:t>Materia: Proyecto Integrador</w:t>
        <w:br/>
        <w:t>Fecha: Julio de 2026</w:t>
        <w:br/>
        <w:t>Cuitláhuac, Veracruz, México</w:t>
      </w:r>
    </w:p>
    <w:p>
      <w:r>
        <w:br w:type="page"/>
      </w:r>
    </w:p>
    <w:p>
      <w:pPr>
        <w:keepNext/>
        <w:spacing w:before="48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Resumen Ejecutivo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Este documento define el Plan de Liberación de Software para el ecosistema AsmaSync, desarrollado en la Universidad Tecnológica del Centro de Veracruz (UTCV). El plan tiene como finalidad estructurar y regular los procesos de integración, pruebas, empaquetado y despliegue del Dashboard Web (Angular) y el Backend API (FastAPI) junto con sus bases de datos y algoritmos de Machine Learning. El objetivo principal es proveer entregas de alta confiabilidad orientadas al sector médico, garantizando la seguridad en la manipulación de datos clínicos y minimizando la tasa de fallos tras cada publicación.</w:t>
      </w:r>
    </w:p>
    <w:p>
      <w:pPr>
        <w:keepNext/>
        <w:spacing w:before="48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1. Políticas Comunes que Respaldan el Plan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Con el fin de asegurar la estabilidad del entorno productivo y la calidad de la información clínica, la liberación de software se respalda en cuatro políticas fundamentales reguladas por el equipo de desarrollo: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Política de Control de Cambios (Branching Policy)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Todo desarrollo de nueva funcionalidad o corrección debe ser implementado de manera aislada en ramas 'feature/*' o 'bugfix/*'. La integración hacia ramas compartidas ('develop' o 'main') se realizará exclusivamente mediante Pull Requests con aprobación obligatoria por pares.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Política de Calidad y Pruebas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No se liberará ninguna versión de software si presenta fallos de compilación o lints pendientes. Se exige una cobertura mínima de pruebas unitarias del 80% en frontend y 85% en backend. El modelo predictivo de IA debe verificar una exactitud superior al 90%.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Política de Seguridad Médica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Los datos clínicos e historiales de los pacientes asmáticos (SpO2, PEF) son considerados altamente sensibles. El plan exige que toda liberación cumpla con análisis de vulnerabilidades automatizado en el código y el cifrado de datos (TLS 1.3 y AES-256).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Política de Reversión (Rollback)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Si se detecta una degradación de la estabilidad o una vulnerabilidad crítica dentro de los primeros 60 minutos tras el lanzamiento en producción, el pipeline de CI/CD ejecutará una reversión automática al último contenedor Docker estable.</w:t>
      </w:r>
    </w:p>
    <w:p>
      <w:pPr>
        <w:keepNext/>
        <w:spacing w:before="48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2. Normativas y Estándares de Regulación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El desarrollo, la validación y la entrega final del sistema AsmaSync se rige rigurosamente bajo estándares internacionales de ingeniería de software y regulaciones legales del sector salud: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ISO/IEC 12207 (Procesos del Ciclo de Vida del Software)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Provee el marco metodológico para guiar todas las actividades de ingeniería, desde el análisis de requisitos médicos hasta el mantenimiento operativo del sistema.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ISO/IEC 25010 (Calidad del Producto de Software)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Se enfoca en evaluar y asegurar factores indispensables como la confidencialidad de la información, la facilidad de uso de la app móvil y la alta disponibilidad del Dashboard.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SemVer 2.0.0 (Versionamiento Semántico)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Establece la estructura de versiones MAJOR.MINOR.PATCH (ej. v2.1.4) para denotar cambios significativos en el código de forma coherente.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Regulaciones de Salud y Privacidad (NOM-004 e HIPAA)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Se cumple con la norma NOM-004-SSA3-2012 de expediente clínico electrónico en México, y los estándares HIPAA y GDPR a nivel internacional para garantizar los derechos de privacidad y portabilidad de los pacientes.</w:t>
      </w:r>
    </w:p>
    <w:p>
      <w:pPr>
        <w:keepNext/>
        <w:spacing w:before="48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3. Herramientas de Liberación de Software y Justificación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A continuación, se listan y justifican técnicamente las herramientas de software empleadas para dar soporte a todo el pipeline de publicación y versionado: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29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3168"/>
            <w:shd w:fill="1F29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Función en el Proyecto</w:t>
            </w:r>
          </w:p>
        </w:tc>
        <w:tc>
          <w:tcPr>
            <w:tcW w:type="dxa" w:w="4032"/>
            <w:shd w:fill="1F29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Justificación Técnica</w:t>
            </w:r>
          </w:p>
        </w:tc>
      </w:tr>
      <w:tr>
        <w:tc>
          <w:tcPr>
            <w:tcW w:type="dxa" w:w="2160"/>
            <w:shd w:fill="F9FAFB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Git &amp; GitHub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Sistema de control de versiones y hosting de repositorios.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Permite colaboración distribuida, auditoría del historial de cambios e integración fluida con GitHub Actions.</w:t>
            </w:r>
          </w:p>
        </w:tc>
      </w:tr>
      <w:tr>
        <w:tc>
          <w:tcPr>
            <w:tcW w:type="dxa" w:w="2160"/>
            <w:shd w:fill="F9FAFB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GitHub Actions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Automatización de Integración y Despliegue Continuo (CI/CD).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Ejecuta de manera autónoma las pruebas unitarias y automatiza la construcción y despliegue del ecosistema al detectar commits.</w:t>
            </w:r>
          </w:p>
        </w:tc>
      </w:tr>
      <w:tr>
        <w:tc>
          <w:tcPr>
            <w:tcW w:type="dxa" w:w="2160"/>
            <w:shd w:fill="F9FAFB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Docker &amp; Docker Compose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Contenedorización de microservicios (FastAPI, DBs, Kafka).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Garantiza la consistencia entre los entornos de desarrollo, QA y producción, evitando fallos de compatibilidad local.</w:t>
            </w:r>
          </w:p>
        </w:tc>
      </w:tr>
      <w:tr>
        <w:tc>
          <w:tcPr>
            <w:tcW w:type="dxa" w:w="2160"/>
            <w:shd w:fill="F9FAFB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Angular CLI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Compilador del Dashboard Frontend.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Optimiza el peso final de los entregables mediante Ahead-of-Time (AOT) y Tree Shaking para mayor rapidez en la carga.</w:t>
            </w:r>
          </w:p>
        </w:tc>
      </w:tr>
      <w:tr>
        <w:tc>
          <w:tcPr>
            <w:tcW w:type="dxa" w:w="2160"/>
            <w:shd w:fill="F9FAFB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Vercel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Hosting del Dashboard Frontend Angular.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Provee despliegues rápidos en la periferia de la red (Edge), certificados de seguridad SSL automáticos y previsualizaciones dinámicas.</w:t>
            </w:r>
          </w:p>
        </w:tc>
      </w:tr>
      <w:tr>
        <w:tc>
          <w:tcPr>
            <w:tcW w:type="dxa" w:w="2160"/>
            <w:shd w:fill="F9FAFB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Render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Hosting de Backend API FastAPI y base de datos.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Alojamiento seguro en Python que soporta el uso aislado de variables de entorno, conexión forzada SSL y auto-escalado funcional.</w:t>
            </w:r>
          </w:p>
        </w:tc>
      </w:tr>
    </w:tbl>
    <w:p/>
    <w:p>
      <w:pPr>
        <w:keepNext/>
        <w:spacing w:before="48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4. Cronograma de Etapas de Publicación y Corrección de Errores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El cronograma de liberación del proyecto AsmaSync se divide en cuatro etapas principales para asegurar una transición progresiva y segura hacia producción. Cada etapa incluye una ventana de tiempo predefinida y obligatoria para la corrección de errores: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Etapa 1: Fase Alpha (Entorno Local y Pruebas Unitarias)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Objetivo: Validar los componentes web y la lógica del API. Duración: 15 días totales. Ventana de corrección: 5 días específicos integrados para resolver fallos de lógica previos al merge en 'develop'.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Etapa 2: Fase Beta (Entorno de Integración y Pruebas de Sistema)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Objetivo: Probar la integración real con bases de datos y la cola de eventos de biosensores. Duración: 17 días totales. Ventana de corrección: 7 días asignados para resolver incidencias de integración en staging.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Etapa 3: Candidato de Liberación (Release Candidate - RC)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Objetivo: Validar el sistema en condiciones idénticas a producción con usuarios finales de control (médicos y pacientes piloto). Duración: 11 días totales. Ventana de corrección: 4 días dedicados únicamente a bugs críticos antes del lanzamiento.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Etapa 4: Producción y Lanzamiento (Go-Live)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Objetivo: Despliegue oficial en producción. Duración: 10 días totales (incluye estabilización). Ventana de corrección (Hotfixes): 3 días dedicados a monitorizar telemetría y aplicar parches inmediatos ante incidentes post-lanzamiento.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