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Calibri" w:hAnsi="Calibri"/>
          <w:color w:val="374151"/>
          <w:sz w:val="26"/>
        </w:rPr>
        <w:t>Universidad Tecnológica de la Costa de Jalisco</w:t>
      </w:r>
    </w:p>
    <w:p>
      <w:pPr>
        <w:spacing w:after="1000"/>
        <w:jc w:val="center"/>
      </w:pPr>
      <w:r>
        <w:rPr>
          <w:rFonts w:ascii="Calibri" w:hAnsi="Calibri"/>
          <w:i/>
          <w:color w:val="6B7280"/>
          <w:sz w:val="24"/>
        </w:rPr>
        <w:t>Proyecto Integrador — AsmaSync</w:t>
      </w:r>
    </w:p>
    <w:p>
      <w:pPr>
        <w:spacing w:after="600"/>
        <w:jc w:val="center"/>
      </w:pPr>
      <w:r>
        <w:rPr>
          <w:color w:val="2563EB"/>
          <w:sz w:val="20"/>
        </w:rPr>
        <w:t>━━━━━━━━━━━━━━━━━━━━━━━━━━━━━━</w:t>
      </w:r>
    </w:p>
    <w:p>
      <w:pPr>
        <w:spacing w:after="280"/>
        <w:jc w:val="center"/>
      </w:pPr>
      <w:r>
        <w:rPr>
          <w:rFonts w:ascii="Calibri" w:hAnsi="Calibri"/>
          <w:b/>
          <w:color w:val="1E3A8A"/>
          <w:sz w:val="52"/>
        </w:rPr>
        <w:t>PLAN DE IMPLEMENTACIÓN DE</w:t>
        <w:br/>
        <w:t>WEB SERVICES EN EL DESARROLLO WEB</w:t>
      </w:r>
    </w:p>
    <w:p>
      <w:pPr>
        <w:spacing w:after="1200"/>
        <w:jc w:val="center"/>
      </w:pPr>
      <w:r>
        <w:rPr>
          <w:rFonts w:ascii="Calibri" w:hAnsi="Calibri"/>
          <w:b/>
          <w:color w:val="2563EB"/>
          <w:sz w:val="28"/>
        </w:rPr>
        <w:t>Actividad 3</w:t>
      </w:r>
    </w:p>
    <w:p>
      <w:pPr>
        <w:spacing w:after="800"/>
        <w:jc w:val="center"/>
      </w:pPr>
      <w:r>
        <w:rPr>
          <w:color w:val="2563EB"/>
          <w:sz w:val="20"/>
        </w:rPr>
        <w:t>━━━━━━━━━━━━━━━━━━━━━━━━━━━━━━</w:t>
      </w:r>
    </w:p>
    <w:p>
      <w:pPr>
        <w:spacing w:line="360" w:lineRule="auto"/>
        <w:jc w:val="center"/>
      </w:pPr>
      <w:r>
        <w:rPr>
          <w:rFonts w:ascii="Calibri" w:hAnsi="Calibri"/>
          <w:color w:val="6B7280"/>
          <w:sz w:val="22"/>
        </w:rPr>
        <w:t>Protocolo de Intercambio de Datos: REST / JSON</w:t>
        <w:br/>
        <w:t>Tecnología Backend: FastAPI · PostgreSQL · Supabase Auth</w:t>
        <w:br/>
        <w:t>Tecnología Frontend: Angular 17</w:t>
        <w:br/>
        <w:t>Fecha: Junio de 2026</w:t>
      </w:r>
    </w:p>
    <w:p>
      <w:r>
        <w:br w:type="page"/>
      </w:r>
    </w:p>
    <w:p>
      <w:pPr>
        <w:spacing w:before="360" w:after="120"/>
        <w:jc w:val="left"/>
      </w:pPr>
      <w:r>
        <w:rPr>
          <w:rFonts w:ascii="Calibri" w:hAnsi="Calibri"/>
          <w:b/>
          <w:color w:val="2563EB"/>
          <w:sz w:val="28"/>
        </w:rPr>
        <w:t>Introducción</w:t>
      </w:r>
    </w:p>
    <w:p>
      <w:pPr>
        <w:spacing w:before="120" w:after="120"/>
        <w:pBdr>
          <w:bottom w:val="single" w:sz="6" w:space="1" w:color="BFDBFE"/>
        </w:pBdr>
      </w:pPr>
    </w:p>
    <w:p>
      <w:pPr>
        <w:spacing w:before="0" w:after="160" w:line="276" w:lineRule="auto"/>
        <w:ind w:left="283"/>
        <w:jc w:val="both"/>
      </w:pPr>
      <w:r>
        <w:rPr>
          <w:rFonts w:ascii="Calibri" w:hAnsi="Calibri"/>
          <w:color w:val="1F2937"/>
          <w:sz w:val="22"/>
        </w:rPr>
        <w:t>El presente documento describe el Plan de Implementación de Web Services para el Proyecto Integrador AsmaSync, una plataforma digital de monitoreo y predicción de episodios de asma que integra un dashboard médico web, una API RESTful y una aplicación móvil IoT.</w:t>
      </w:r>
    </w:p>
    <w:p>
      <w:pPr>
        <w:spacing w:before="0" w:after="160" w:line="276" w:lineRule="auto"/>
        <w:ind w:left="283"/>
        <w:jc w:val="both"/>
      </w:pPr>
      <w:r>
        <w:rPr>
          <w:rFonts w:ascii="Calibri" w:hAnsi="Calibri"/>
          <w:color w:val="1F2937"/>
          <w:sz w:val="22"/>
        </w:rPr>
        <w:t>El plan define las tecnologías seleccionadas para cada capa de la arquitectura de servicios web, así como el catálogo completo de peticiones (requests) que expone la API, documentadas conforme al protocolo REST con formato de intercambio JSON.</w:t>
      </w:r>
    </w:p>
    <w:p>
      <w:pPr>
        <w:spacing w:before="360" w:after="120"/>
        <w:jc w:val="left"/>
      </w:pPr>
      <w:r>
        <w:rPr>
          <w:rFonts w:ascii="Calibri" w:hAnsi="Calibri"/>
          <w:b/>
          <w:color w:val="2563EB"/>
          <w:sz w:val="28"/>
        </w:rPr>
        <w:t>Descripción de Tecnologías por Apartado</w:t>
      </w:r>
    </w:p>
    <w:p>
      <w:pPr>
        <w:spacing w:before="120" w:after="120"/>
        <w:pBdr>
          <w:bottom w:val="single" w:sz="6" w:space="1" w:color="BFDBFE"/>
        </w:pBdr>
      </w:pPr>
    </w:p>
    <w:p>
      <w:pPr>
        <w:spacing w:before="280" w:after="80"/>
        <w:jc w:val="left"/>
      </w:pPr>
      <w:r>
        <w:rPr>
          <w:rFonts w:ascii="Calibri" w:hAnsi="Calibri"/>
          <w:b/>
          <w:color w:val="1E3A8A"/>
          <w:sz w:val="24"/>
        </w:rPr>
        <w:t>a) Comunicación entre cliente y servidor</w:t>
      </w:r>
    </w:p>
    <w:p>
      <w:pPr>
        <w:spacing w:before="0" w:after="160" w:line="276" w:lineRule="auto"/>
        <w:ind w:left="283"/>
        <w:jc w:val="both"/>
      </w:pPr>
      <w:r>
        <w:rPr>
          <w:rFonts w:ascii="Calibri" w:hAnsi="Calibri"/>
          <w:color w:val="1F2937"/>
          <w:sz w:val="22"/>
        </w:rPr>
        <w:t>La comunicación entre el cliente (Angular 17 / App Móvil Android) y el servidor (FastAPI) se realiza mediante el protocolo HTTP/HTTPS sobre TCP/IP. Todas las peticiones del cliente web se envían a través de HTTPS (TLS 1.3) para garantizar la confidencialidad e integridad de los datos en tránsito.</w:t>
      </w:r>
    </w:p>
    <w:p>
      <w:pPr>
        <w:pStyle w:val="ListBullet"/>
        <w:spacing w:before="0" w:after="60" w:line="276" w:lineRule="auto"/>
        <w:ind w:left="567"/>
        <w:jc w:val="both"/>
      </w:pPr>
      <w:r>
        <w:rPr>
          <w:rFonts w:ascii="Calibri" w:hAnsi="Calibri"/>
          <w:b/>
          <w:color w:val="1F2937"/>
          <w:sz w:val="22"/>
        </w:rPr>
        <w:t>Protocolo de transporte:</w:t>
      </w:r>
      <w:r>
        <w:rPr>
          <w:rFonts w:ascii="Calibri" w:hAnsi="Calibri"/>
          <w:color w:val="1F2937"/>
          <w:sz w:val="22"/>
        </w:rPr>
        <w:t xml:space="preserve"> HTTP/1.1 y HTTP/2 sobre TLS 1.3 (HTTPS)</w:t>
      </w:r>
    </w:p>
    <w:p>
      <w:pPr>
        <w:pStyle w:val="ListBullet"/>
        <w:spacing w:before="0" w:after="60" w:line="276" w:lineRule="auto"/>
        <w:ind w:left="567"/>
        <w:jc w:val="both"/>
      </w:pPr>
      <w:r>
        <w:rPr>
          <w:rFonts w:ascii="Calibri" w:hAnsi="Calibri"/>
          <w:b/>
          <w:color w:val="1F2937"/>
          <w:sz w:val="22"/>
        </w:rPr>
        <w:t>Modelo de comunicación:</w:t>
      </w:r>
      <w:r>
        <w:rPr>
          <w:rFonts w:ascii="Calibri" w:hAnsi="Calibri"/>
          <w:color w:val="1F2937"/>
          <w:sz w:val="22"/>
        </w:rPr>
        <w:t xml:space="preserve"> Cliente–Servidor síncrono (request/response) y asíncrono (WebSocket para tendencias en tiempo real)</w:t>
      </w:r>
    </w:p>
    <w:p>
      <w:pPr>
        <w:pStyle w:val="ListBullet"/>
        <w:spacing w:before="0" w:after="60" w:line="276" w:lineRule="auto"/>
        <w:ind w:left="567"/>
        <w:jc w:val="both"/>
      </w:pPr>
      <w:r>
        <w:rPr>
          <w:rFonts w:ascii="Calibri" w:hAnsi="Calibri"/>
          <w:b/>
          <w:color w:val="1F2937"/>
          <w:sz w:val="22"/>
        </w:rPr>
        <w:t>Autenticación de canal:</w:t>
      </w:r>
      <w:r>
        <w:rPr>
          <w:rFonts w:ascii="Calibri" w:hAnsi="Calibri"/>
          <w:color w:val="1F2937"/>
          <w:sz w:val="22"/>
        </w:rPr>
        <w:t xml:space="preserve"> Certificados SSL/TLS emitidos por la plataforma de despliegue (Render)</w:t>
      </w:r>
    </w:p>
    <w:p>
      <w:pPr>
        <w:pStyle w:val="ListBullet"/>
        <w:spacing w:before="0" w:after="60" w:line="276" w:lineRule="auto"/>
        <w:ind w:left="567"/>
        <w:jc w:val="both"/>
      </w:pPr>
      <w:r>
        <w:rPr>
          <w:rFonts w:ascii="Calibri" w:hAnsi="Calibri"/>
          <w:b/>
          <w:color w:val="1F2937"/>
          <w:sz w:val="22"/>
        </w:rPr>
        <w:t>Cliente web:</w:t>
      </w:r>
      <w:r>
        <w:rPr>
          <w:rFonts w:ascii="Calibri" w:hAnsi="Calibri"/>
          <w:color w:val="1F2937"/>
          <w:sz w:val="22"/>
        </w:rPr>
        <w:t xml:space="preserve"> Angular HttpClient con interceptores automáticos de token JWT</w:t>
      </w:r>
    </w:p>
    <w:p>
      <w:pPr>
        <w:pStyle w:val="ListBullet"/>
        <w:spacing w:before="0" w:after="60" w:line="276" w:lineRule="auto"/>
        <w:ind w:left="567"/>
        <w:jc w:val="both"/>
      </w:pPr>
      <w:r>
        <w:rPr>
          <w:rFonts w:ascii="Calibri" w:hAnsi="Calibri"/>
          <w:b/>
          <w:color w:val="1F2937"/>
          <w:sz w:val="22"/>
        </w:rPr>
        <w:t>Canal en tiempo real:</w:t>
      </w:r>
      <w:r>
        <w:rPr>
          <w:rFonts w:ascii="Calibri" w:hAnsi="Calibri"/>
          <w:color w:val="1F2937"/>
          <w:sz w:val="22"/>
        </w:rPr>
        <w:t xml:space="preserve"> WebSocket (/ws/trend/{user_id}) para streaming de tendencias de PEF</w:t>
      </w:r>
    </w:p>
    <w:p>
      <w:pPr>
        <w:spacing w:before="280" w:after="80"/>
        <w:jc w:val="left"/>
      </w:pPr>
      <w:r>
        <w:rPr>
          <w:rFonts w:ascii="Calibri" w:hAnsi="Calibri"/>
          <w:b/>
          <w:color w:val="1E3A8A"/>
          <w:sz w:val="24"/>
        </w:rPr>
        <w:t>b) Intercambio de datos</w:t>
      </w:r>
    </w:p>
    <w:p>
      <w:pPr>
        <w:spacing w:before="0" w:after="160" w:line="276" w:lineRule="auto"/>
        <w:ind w:left="283"/>
        <w:jc w:val="both"/>
      </w:pPr>
      <w:r>
        <w:rPr>
          <w:rFonts w:ascii="Calibri" w:hAnsi="Calibri"/>
          <w:color w:val="1F2937"/>
          <w:sz w:val="22"/>
        </w:rPr>
        <w:t>El formato de intercambio de datos adoptado en AsmaSync es JSON (JavaScript Object Notation), por su ligereza, legibilidad y compatibilidad nativa con los stacks Angular y FastAPI. Los esquemas de validación en el backend se definen con la librería Pydantic, garantizando la integridad estructural de todos los mensajes.</w:t>
      </w:r>
    </w:p>
    <w:p>
      <w:pPr>
        <w:pStyle w:val="ListBullet"/>
        <w:spacing w:before="0" w:after="60" w:line="276" w:lineRule="auto"/>
        <w:ind w:left="567"/>
        <w:jc w:val="both"/>
      </w:pPr>
      <w:r>
        <w:rPr>
          <w:rFonts w:ascii="Calibri" w:hAnsi="Calibri"/>
          <w:b/>
          <w:color w:val="1F2937"/>
          <w:sz w:val="22"/>
        </w:rPr>
        <w:t>Formato primario:</w:t>
      </w:r>
      <w:r>
        <w:rPr>
          <w:rFonts w:ascii="Calibri" w:hAnsi="Calibri"/>
          <w:color w:val="1F2937"/>
          <w:sz w:val="22"/>
        </w:rPr>
        <w:t xml:space="preserve"> JSON (application/json) para todos los endpoints REST</w:t>
      </w:r>
    </w:p>
    <w:p>
      <w:pPr>
        <w:pStyle w:val="ListBullet"/>
        <w:spacing w:before="0" w:after="60" w:line="276" w:lineRule="auto"/>
        <w:ind w:left="567"/>
        <w:jc w:val="both"/>
      </w:pPr>
      <w:r>
        <w:rPr>
          <w:rFonts w:ascii="Calibri" w:hAnsi="Calibri"/>
          <w:b/>
          <w:color w:val="1F2937"/>
          <w:sz w:val="22"/>
        </w:rPr>
        <w:t>Formato binario:</w:t>
      </w:r>
      <w:r>
        <w:rPr>
          <w:rFonts w:ascii="Calibri" w:hAnsi="Calibri"/>
          <w:color w:val="1F2937"/>
          <w:sz w:val="22"/>
        </w:rPr>
        <w:t xml:space="preserve"> application/pdf para la generación y descarga de reportes médicos</w:t>
      </w:r>
    </w:p>
    <w:p>
      <w:pPr>
        <w:pStyle w:val="ListBullet"/>
        <w:spacing w:before="0" w:after="60" w:line="276" w:lineRule="auto"/>
        <w:ind w:left="567"/>
        <w:jc w:val="both"/>
      </w:pPr>
      <w:r>
        <w:rPr>
          <w:rFonts w:ascii="Calibri" w:hAnsi="Calibri"/>
          <w:b/>
          <w:color w:val="1F2937"/>
          <w:sz w:val="22"/>
        </w:rPr>
        <w:t>Serialización:</w:t>
      </w:r>
      <w:r>
        <w:rPr>
          <w:rFonts w:ascii="Calibri" w:hAnsi="Calibri"/>
          <w:color w:val="1F2937"/>
          <w:sz w:val="22"/>
        </w:rPr>
        <w:t xml:space="preserve"> Automática mediante Pydantic v2 (Python) y Angular HttpClient (TypeScript)</w:t>
      </w:r>
    </w:p>
    <w:p>
      <w:pPr>
        <w:pStyle w:val="ListBullet"/>
        <w:spacing w:before="0" w:after="60" w:line="276" w:lineRule="auto"/>
        <w:ind w:left="567"/>
        <w:jc w:val="both"/>
      </w:pPr>
      <w:r>
        <w:rPr>
          <w:rFonts w:ascii="Calibri" w:hAnsi="Calibri"/>
          <w:b/>
          <w:color w:val="1F2937"/>
          <w:sz w:val="22"/>
        </w:rPr>
        <w:t>Encoding:</w:t>
      </w:r>
      <w:r>
        <w:rPr>
          <w:rFonts w:ascii="Calibri" w:hAnsi="Calibri"/>
          <w:color w:val="1F2937"/>
          <w:sz w:val="22"/>
        </w:rPr>
        <w:t xml:space="preserve"> UTF-8 en todos los cuerpos de petición y respuesta</w:t>
      </w:r>
    </w:p>
    <w:p>
      <w:pPr>
        <w:pStyle w:val="ListBullet"/>
        <w:spacing w:before="0" w:after="60" w:line="276" w:lineRule="auto"/>
        <w:ind w:left="567"/>
        <w:jc w:val="both"/>
      </w:pPr>
      <w:r>
        <w:rPr>
          <w:rFonts w:ascii="Calibri" w:hAnsi="Calibri"/>
          <w:b/>
          <w:color w:val="1F2937"/>
          <w:sz w:val="22"/>
        </w:rPr>
        <w:t>Validación de esquemas:</w:t>
      </w:r>
      <w:r>
        <w:rPr>
          <w:rFonts w:ascii="Calibri" w:hAnsi="Calibri"/>
          <w:color w:val="1F2937"/>
          <w:sz w:val="22"/>
        </w:rPr>
        <w:t xml:space="preserve"> Modelos Pydantic con field_validator para rangos fisiológicos (PEF: 0–900, SpO2: 50–100)</w:t>
      </w:r>
    </w:p>
    <w:p>
      <w:pPr>
        <w:spacing w:before="280" w:after="80"/>
        <w:jc w:val="left"/>
      </w:pPr>
      <w:r>
        <w:rPr>
          <w:rFonts w:ascii="Calibri" w:hAnsi="Calibri"/>
          <w:b/>
          <w:color w:val="1E3A8A"/>
          <w:sz w:val="24"/>
        </w:rPr>
        <w:t>c) Protocolo para Web Services</w:t>
      </w:r>
    </w:p>
    <w:p>
      <w:pPr>
        <w:spacing w:before="0" w:after="160" w:line="276" w:lineRule="auto"/>
        <w:ind w:left="283"/>
        <w:jc w:val="both"/>
      </w:pPr>
      <w:r>
        <w:rPr>
          <w:rFonts w:ascii="Calibri" w:hAnsi="Calibri"/>
          <w:color w:val="1F2937"/>
          <w:sz w:val="22"/>
        </w:rPr>
        <w:t>AsmaSync adopta el estilo arquitectónico REST (Representational State Transfer) como protocolo para la exposición de sus Web Services. REST aprovecha los métodos semánticos de HTTP (GET, POST, PUT, PATCH, DELETE) y los códigos de estado estándar para modelar operaciones CRUD sobre recursos, sin necesidad de protocolos adicionales como SOAP o GraphQL.</w:t>
      </w:r>
    </w:p>
    <w:p>
      <w:pPr>
        <w:pStyle w:val="ListBullet"/>
        <w:spacing w:before="0" w:after="60" w:line="276" w:lineRule="auto"/>
        <w:ind w:left="567"/>
        <w:jc w:val="both"/>
      </w:pPr>
      <w:r>
        <w:rPr>
          <w:rFonts w:ascii="Calibri" w:hAnsi="Calibri"/>
          <w:b/>
          <w:color w:val="1F2937"/>
          <w:sz w:val="22"/>
        </w:rPr>
        <w:t>Arquitectura:</w:t>
      </w:r>
      <w:r>
        <w:rPr>
          <w:rFonts w:ascii="Calibri" w:hAnsi="Calibri"/>
          <w:color w:val="1F2937"/>
          <w:sz w:val="22"/>
        </w:rPr>
        <w:t xml:space="preserve"> RESTful API sin estado (stateless) — cada petición contiene toda la información necesaria</w:t>
      </w:r>
    </w:p>
    <w:p>
      <w:pPr>
        <w:pStyle w:val="ListBullet"/>
        <w:spacing w:before="0" w:after="60" w:line="276" w:lineRule="auto"/>
        <w:ind w:left="567"/>
        <w:jc w:val="both"/>
      </w:pPr>
      <w:r>
        <w:rPr>
          <w:rFonts w:ascii="Calibri" w:hAnsi="Calibri"/>
          <w:b/>
          <w:color w:val="1F2937"/>
          <w:sz w:val="22"/>
        </w:rPr>
        <w:t>Identificación de recursos:</w:t>
      </w:r>
      <w:r>
        <w:rPr>
          <w:rFonts w:ascii="Calibri" w:hAnsi="Calibri"/>
          <w:color w:val="1F2937"/>
          <w:sz w:val="22"/>
        </w:rPr>
        <w:t xml:space="preserve"> URLs semánticas (e.g., /api/patients/{id}/action-plan)</w:t>
      </w:r>
    </w:p>
    <w:p>
      <w:pPr>
        <w:pStyle w:val="ListBullet"/>
        <w:spacing w:before="0" w:after="60" w:line="276" w:lineRule="auto"/>
        <w:ind w:left="567"/>
        <w:jc w:val="both"/>
      </w:pPr>
      <w:r>
        <w:rPr>
          <w:rFonts w:ascii="Calibri" w:hAnsi="Calibri"/>
          <w:b/>
          <w:color w:val="1F2937"/>
          <w:sz w:val="22"/>
        </w:rPr>
        <w:t>Métodos HTTP usados:</w:t>
      </w:r>
      <w:r>
        <w:rPr>
          <w:rFonts w:ascii="Calibri" w:hAnsi="Calibri"/>
          <w:color w:val="1F2937"/>
          <w:sz w:val="22"/>
        </w:rPr>
        <w:t xml:space="preserve"> GET (lectura), POST (creación), PUT (reemplazo total), PATCH (actualización parcial), DELETE (eliminación)</w:t>
      </w:r>
    </w:p>
    <w:p>
      <w:pPr>
        <w:pStyle w:val="ListBullet"/>
        <w:spacing w:before="0" w:after="60" w:line="276" w:lineRule="auto"/>
        <w:ind w:left="567"/>
        <w:jc w:val="both"/>
      </w:pPr>
      <w:r>
        <w:rPr>
          <w:rFonts w:ascii="Calibri" w:hAnsi="Calibri"/>
          <w:b/>
          <w:color w:val="1F2937"/>
          <w:sz w:val="22"/>
        </w:rPr>
        <w:t>Códigos de respuesta:</w:t>
      </w:r>
      <w:r>
        <w:rPr>
          <w:rFonts w:ascii="Calibri" w:hAnsi="Calibri"/>
          <w:color w:val="1F2937"/>
          <w:sz w:val="22"/>
        </w:rPr>
        <w:t xml:space="preserve"> 200 OK, 201 Created, 204 No Content, 400 Bad Request, 401 Unauthorized, 403 Forbidden, 404 Not Found, 422 Unprocessable Entity, 500 Internal Server Error</w:t>
      </w:r>
    </w:p>
    <w:p>
      <w:pPr>
        <w:pStyle w:val="ListBullet"/>
        <w:spacing w:before="0" w:after="60" w:line="276" w:lineRule="auto"/>
        <w:ind w:left="567"/>
        <w:jc w:val="both"/>
      </w:pPr>
      <w:r>
        <w:rPr>
          <w:rFonts w:ascii="Calibri" w:hAnsi="Calibri"/>
          <w:b/>
          <w:color w:val="1F2937"/>
          <w:sz w:val="22"/>
        </w:rPr>
        <w:t>Seguridad del servicio:</w:t>
      </w:r>
      <w:r>
        <w:rPr>
          <w:rFonts w:ascii="Calibri" w:hAnsi="Calibri"/>
          <w:color w:val="1F2937"/>
          <w:sz w:val="22"/>
        </w:rPr>
        <w:t xml:space="preserve"> Bearer Token JWT emitido por Supabase Auth, verificado en cada endpoint protegido</w:t>
      </w:r>
    </w:p>
    <w:p>
      <w:pPr>
        <w:spacing w:before="280" w:after="80"/>
        <w:jc w:val="left"/>
      </w:pPr>
      <w:r>
        <w:rPr>
          <w:rFonts w:ascii="Calibri" w:hAnsi="Calibri"/>
          <w:b/>
          <w:color w:val="1E3A8A"/>
          <w:sz w:val="24"/>
        </w:rPr>
        <w:t>d) Tecnología aplicada para el Web Service</w:t>
      </w:r>
    </w:p>
    <w:p>
      <w:pPr>
        <w:spacing w:before="0" w:after="160" w:line="276" w:lineRule="auto"/>
        <w:ind w:left="283"/>
        <w:jc w:val="both"/>
      </w:pPr>
      <w:r>
        <w:rPr>
          <w:rFonts w:ascii="Calibri" w:hAnsi="Calibri"/>
          <w:color w:val="1F2937"/>
          <w:sz w:val="22"/>
        </w:rPr>
        <w:t>El Web Service de AsmaSync está construido con FastAPI, un framework moderno de alto rendimiento para Python 3.12, basado en estándares abiertos como OpenAPI 3.0 y JSON Schema. FastAPI genera documentación interactiva automáticamente (Swagger UI / Redoc) y ofrece validación automática de tipos mediante Pydantic.</w:t>
      </w:r>
    </w:p>
    <w:p>
      <w:pPr>
        <w:pStyle w:val="ListBullet"/>
        <w:spacing w:before="0" w:after="60" w:line="276" w:lineRule="auto"/>
        <w:ind w:left="567"/>
        <w:jc w:val="both"/>
      </w:pPr>
      <w:r>
        <w:rPr>
          <w:rFonts w:ascii="Calibri" w:hAnsi="Calibri"/>
          <w:b/>
          <w:color w:val="1F2937"/>
          <w:sz w:val="22"/>
        </w:rPr>
        <w:t>Framework backend:</w:t>
      </w:r>
      <w:r>
        <w:rPr>
          <w:rFonts w:ascii="Calibri" w:hAnsi="Calibri"/>
          <w:color w:val="1F2937"/>
          <w:sz w:val="22"/>
        </w:rPr>
        <w:t xml:space="preserve"> FastAPI 0.127+ (Python 3.12)</w:t>
      </w:r>
    </w:p>
    <w:p>
      <w:pPr>
        <w:pStyle w:val="ListBullet"/>
        <w:spacing w:before="0" w:after="60" w:line="276" w:lineRule="auto"/>
        <w:ind w:left="567"/>
        <w:jc w:val="both"/>
      </w:pPr>
      <w:r>
        <w:rPr>
          <w:rFonts w:ascii="Calibri" w:hAnsi="Calibri"/>
          <w:b/>
          <w:color w:val="1F2937"/>
          <w:sz w:val="22"/>
        </w:rPr>
        <w:t>ORM (Object-Relational Mapping):</w:t>
      </w:r>
      <w:r>
        <w:rPr>
          <w:rFonts w:ascii="Calibri" w:hAnsi="Calibri"/>
          <w:color w:val="1F2937"/>
          <w:sz w:val="22"/>
        </w:rPr>
        <w:t xml:space="preserve"> SQLAlchemy 2.0 con soporte de migraciones mediante Alembic</w:t>
      </w:r>
    </w:p>
    <w:p>
      <w:pPr>
        <w:pStyle w:val="ListBullet"/>
        <w:spacing w:before="0" w:after="60" w:line="276" w:lineRule="auto"/>
        <w:ind w:left="567"/>
        <w:jc w:val="both"/>
      </w:pPr>
      <w:r>
        <w:rPr>
          <w:rFonts w:ascii="Calibri" w:hAnsi="Calibri"/>
          <w:b/>
          <w:color w:val="1F2937"/>
          <w:sz w:val="22"/>
        </w:rPr>
        <w:t>Base de datos:</w:t>
      </w:r>
      <w:r>
        <w:rPr>
          <w:rFonts w:ascii="Calibri" w:hAnsi="Calibri"/>
          <w:color w:val="1F2937"/>
          <w:sz w:val="22"/>
        </w:rPr>
        <w:t xml:space="preserve"> PostgreSQL 15 (alojada en Supabase)</w:t>
      </w:r>
    </w:p>
    <w:p>
      <w:pPr>
        <w:pStyle w:val="ListBullet"/>
        <w:spacing w:before="0" w:after="60" w:line="276" w:lineRule="auto"/>
        <w:ind w:left="567"/>
        <w:jc w:val="both"/>
      </w:pPr>
      <w:r>
        <w:rPr>
          <w:rFonts w:ascii="Calibri" w:hAnsi="Calibri"/>
          <w:b/>
          <w:color w:val="1F2937"/>
          <w:sz w:val="22"/>
        </w:rPr>
        <w:t>Autenticación:</w:t>
      </w:r>
      <w:r>
        <w:rPr>
          <w:rFonts w:ascii="Calibri" w:hAnsi="Calibri"/>
          <w:color w:val="1F2937"/>
          <w:sz w:val="22"/>
        </w:rPr>
        <w:t xml:space="preserve"> Supabase Auth (JWT RS256) + API Key para rutas de administración</w:t>
      </w:r>
    </w:p>
    <w:p>
      <w:pPr>
        <w:pStyle w:val="ListBullet"/>
        <w:spacing w:before="0" w:after="60" w:line="276" w:lineRule="auto"/>
        <w:ind w:left="567"/>
        <w:jc w:val="both"/>
      </w:pPr>
      <w:r>
        <w:rPr>
          <w:rFonts w:ascii="Calibri" w:hAnsi="Calibri"/>
          <w:b/>
          <w:color w:val="1F2937"/>
          <w:sz w:val="22"/>
        </w:rPr>
        <w:t>Cifrado de contraseñas:</w:t>
      </w:r>
      <w:r>
        <w:rPr>
          <w:rFonts w:ascii="Calibri" w:hAnsi="Calibri"/>
          <w:color w:val="1F2937"/>
          <w:sz w:val="22"/>
        </w:rPr>
        <w:t xml:space="preserve"> Bcrypt con salt aleatorio (delegado a Supabase Auth)</w:t>
      </w:r>
    </w:p>
    <w:p>
      <w:pPr>
        <w:pStyle w:val="ListBullet"/>
        <w:spacing w:before="0" w:after="60" w:line="276" w:lineRule="auto"/>
        <w:ind w:left="567"/>
        <w:jc w:val="both"/>
      </w:pPr>
      <w:r>
        <w:rPr>
          <w:rFonts w:ascii="Calibri" w:hAnsi="Calibri"/>
          <w:b/>
          <w:color w:val="1F2937"/>
          <w:sz w:val="22"/>
        </w:rPr>
        <w:t>Generación de PDF:</w:t>
      </w:r>
      <w:r>
        <w:rPr>
          <w:rFonts w:ascii="Calibri" w:hAnsi="Calibri"/>
          <w:color w:val="1F2937"/>
          <w:sz w:val="22"/>
        </w:rPr>
        <w:t xml:space="preserve"> ReportLab (endpoint de reportes médicos)</w:t>
      </w:r>
    </w:p>
    <w:p>
      <w:pPr>
        <w:pStyle w:val="ListBullet"/>
        <w:spacing w:before="0" w:after="60" w:line="276" w:lineRule="auto"/>
        <w:ind w:left="567"/>
        <w:jc w:val="both"/>
      </w:pPr>
      <w:r>
        <w:rPr>
          <w:rFonts w:ascii="Calibri" w:hAnsi="Calibri"/>
          <w:b/>
          <w:color w:val="1F2937"/>
          <w:sz w:val="22"/>
        </w:rPr>
        <w:t>Machine Learning:</w:t>
      </w:r>
      <w:r>
        <w:rPr>
          <w:rFonts w:ascii="Calibri" w:hAnsi="Calibri"/>
          <w:color w:val="1F2937"/>
          <w:sz w:val="22"/>
        </w:rPr>
        <w:t xml:space="preserve"> scikit-learn (predicción de riesgo de asma)</w:t>
      </w:r>
    </w:p>
    <w:p>
      <w:pPr>
        <w:pStyle w:val="ListBullet"/>
        <w:spacing w:before="0" w:after="60" w:line="276" w:lineRule="auto"/>
        <w:ind w:left="567"/>
        <w:jc w:val="both"/>
      </w:pPr>
      <w:r>
        <w:rPr>
          <w:rFonts w:ascii="Calibri" w:hAnsi="Calibri"/>
          <w:b/>
          <w:color w:val="1F2937"/>
          <w:sz w:val="22"/>
        </w:rPr>
        <w:t>Cliente Angular:</w:t>
      </w:r>
      <w:r>
        <w:rPr>
          <w:rFonts w:ascii="Calibri" w:hAnsi="Calibri"/>
          <w:color w:val="1F2937"/>
          <w:sz w:val="22"/>
        </w:rPr>
        <w:t xml:space="preserve"> Angular 17 con HttpClient, RxJS y CryptoJS (cifrado local)</w:t>
      </w:r>
    </w:p>
    <w:p>
      <w:pPr>
        <w:spacing w:before="280" w:after="80"/>
        <w:jc w:val="left"/>
      </w:pPr>
      <w:r>
        <w:rPr>
          <w:rFonts w:ascii="Calibri" w:hAnsi="Calibri"/>
          <w:b/>
          <w:color w:val="1E3A8A"/>
          <w:sz w:val="24"/>
        </w:rPr>
        <w:t>e) Servidor Web</w:t>
      </w:r>
    </w:p>
    <w:p>
      <w:pPr>
        <w:spacing w:before="0" w:after="160" w:line="276" w:lineRule="auto"/>
        <w:ind w:left="283"/>
        <w:jc w:val="both"/>
      </w:pPr>
      <w:r>
        <w:rPr>
          <w:rFonts w:ascii="Calibri" w:hAnsi="Calibri"/>
          <w:color w:val="1F2937"/>
          <w:sz w:val="22"/>
        </w:rPr>
        <w:t>El servidor ASGI (Asynchronous Server Gateway Interface) encargado de ejecutar la aplicación FastAPI y gestionar las conexiones HTTP concurrentes es Uvicorn, un servidor de alto rendimiento basado en uvloop y httptools. En producción, el servicio se despliega en la plataforma Render, con soporte de HTTPS automático.</w:t>
      </w:r>
    </w:p>
    <w:p>
      <w:pPr>
        <w:pStyle w:val="ListBullet"/>
        <w:spacing w:before="0" w:after="60" w:line="276" w:lineRule="auto"/>
        <w:ind w:left="567"/>
        <w:jc w:val="both"/>
      </w:pPr>
      <w:r>
        <w:rPr>
          <w:rFonts w:ascii="Calibri" w:hAnsi="Calibri"/>
          <w:b/>
          <w:color w:val="1F2937"/>
          <w:sz w:val="22"/>
        </w:rPr>
        <w:t>Servidor de aplicación:</w:t>
      </w:r>
      <w:r>
        <w:rPr>
          <w:rFonts w:ascii="Calibri" w:hAnsi="Calibri"/>
          <w:color w:val="1F2937"/>
          <w:sz w:val="22"/>
        </w:rPr>
        <w:t xml:space="preserve"> Uvicorn 0.27+ (ASGI)</w:t>
      </w:r>
    </w:p>
    <w:p>
      <w:pPr>
        <w:pStyle w:val="ListBullet"/>
        <w:spacing w:before="0" w:after="60" w:line="276" w:lineRule="auto"/>
        <w:ind w:left="567"/>
        <w:jc w:val="both"/>
      </w:pPr>
      <w:r>
        <w:rPr>
          <w:rFonts w:ascii="Calibri" w:hAnsi="Calibri"/>
          <w:b/>
          <w:color w:val="1F2937"/>
          <w:sz w:val="22"/>
        </w:rPr>
        <w:t>Plataforma de despliegue (producción):</w:t>
      </w:r>
      <w:r>
        <w:rPr>
          <w:rFonts w:ascii="Calibri" w:hAnsi="Calibri"/>
          <w:color w:val="1F2937"/>
          <w:sz w:val="22"/>
        </w:rPr>
        <w:t xml:space="preserve"> Render (cloud PaaS con HTTPS automático)</w:t>
      </w:r>
    </w:p>
    <w:p>
      <w:pPr>
        <w:pStyle w:val="ListBullet"/>
        <w:spacing w:before="0" w:after="60" w:line="276" w:lineRule="auto"/>
        <w:ind w:left="567"/>
        <w:jc w:val="both"/>
      </w:pPr>
      <w:r>
        <w:rPr>
          <w:rFonts w:ascii="Calibri" w:hAnsi="Calibri"/>
          <w:b/>
          <w:color w:val="1F2937"/>
          <w:sz w:val="22"/>
        </w:rPr>
        <w:t>Entorno de desarrollo local:</w:t>
      </w:r>
      <w:r>
        <w:rPr>
          <w:rFonts w:ascii="Calibri" w:hAnsi="Calibri"/>
          <w:color w:val="1F2937"/>
          <w:sz w:val="22"/>
        </w:rPr>
        <w:t xml:space="preserve"> Uvicorn con recarga en caliente (--reload)</w:t>
      </w:r>
    </w:p>
    <w:p>
      <w:pPr>
        <w:pStyle w:val="ListBullet"/>
        <w:spacing w:before="0" w:after="60" w:line="276" w:lineRule="auto"/>
        <w:ind w:left="567"/>
        <w:jc w:val="both"/>
      </w:pPr>
      <w:r>
        <w:rPr>
          <w:rFonts w:ascii="Calibri" w:hAnsi="Calibri"/>
          <w:b/>
          <w:color w:val="1F2937"/>
          <w:sz w:val="22"/>
        </w:rPr>
        <w:t>Contenedorización:</w:t>
      </w:r>
      <w:r>
        <w:rPr>
          <w:rFonts w:ascii="Calibri" w:hAnsi="Calibri"/>
          <w:color w:val="1F2937"/>
          <w:sz w:val="22"/>
        </w:rPr>
        <w:t xml:space="preserve"> Docker + docker-compose para entorno reproducible (con PostgreSQL)</w:t>
      </w:r>
    </w:p>
    <w:p>
      <w:pPr>
        <w:pStyle w:val="ListBullet"/>
        <w:spacing w:before="0" w:after="60" w:line="276" w:lineRule="auto"/>
        <w:ind w:left="567"/>
        <w:jc w:val="both"/>
      </w:pPr>
      <w:r>
        <w:rPr>
          <w:rFonts w:ascii="Calibri" w:hAnsi="Calibri"/>
          <w:b/>
          <w:color w:val="1F2937"/>
          <w:sz w:val="22"/>
        </w:rPr>
        <w:t>CORS (Cross-Origin Resource Sharing):</w:t>
      </w:r>
      <w:r>
        <w:rPr>
          <w:rFonts w:ascii="Calibri" w:hAnsi="Calibri"/>
          <w:color w:val="1F2937"/>
          <w:sz w:val="22"/>
        </w:rPr>
        <w:t xml:space="preserve"> Configurado en FastAPI para permitir peticiones desde el origen del dashboard (angular.app / localhost:4200)</w:t>
      </w:r>
    </w:p>
    <w:p>
      <w:pPr>
        <w:pStyle w:val="ListBullet"/>
        <w:spacing w:before="0" w:after="60" w:line="276" w:lineRule="auto"/>
        <w:ind w:left="567"/>
        <w:jc w:val="both"/>
      </w:pPr>
      <w:r>
        <w:rPr>
          <w:rFonts w:ascii="Calibri" w:hAnsi="Calibri"/>
          <w:b/>
          <w:color w:val="1F2937"/>
          <w:sz w:val="22"/>
        </w:rPr>
        <w:t>Frontend:</w:t>
      </w:r>
      <w:r>
        <w:rPr>
          <w:rFonts w:ascii="Calibri" w:hAnsi="Calibri"/>
          <w:color w:val="1F2937"/>
          <w:sz w:val="22"/>
        </w:rPr>
        <w:t xml:space="preserve"> Angular 17 servido en desarrollo mediante ng serve (port 4200) o compilado como SPA estática en producción</w:t>
      </w:r>
    </w:p>
    <w:p>
      <w:pPr>
        <w:spacing w:before="280" w:after="80"/>
        <w:jc w:val="left"/>
      </w:pPr>
      <w:r>
        <w:rPr>
          <w:rFonts w:ascii="Calibri" w:hAnsi="Calibri"/>
          <w:b/>
          <w:color w:val="1E3A8A"/>
          <w:sz w:val="24"/>
        </w:rPr>
        <w:t>f) Prueba de Web Services</w:t>
      </w:r>
    </w:p>
    <w:p>
      <w:pPr>
        <w:spacing w:before="0" w:after="160" w:line="276" w:lineRule="auto"/>
        <w:ind w:left="283"/>
        <w:jc w:val="both"/>
      </w:pPr>
      <w:r>
        <w:rPr>
          <w:rFonts w:ascii="Calibri" w:hAnsi="Calibri"/>
          <w:color w:val="1F2937"/>
          <w:sz w:val="22"/>
        </w:rPr>
        <w:t>La estrategia de pruebas del Web Service de AsmaSync combina pruebas automatizadas unitarias e integradas con herramientas de prueba manual interactiva.</w:t>
      </w:r>
    </w:p>
    <w:p>
      <w:pPr>
        <w:pStyle w:val="ListBullet"/>
        <w:spacing w:before="0" w:after="60" w:line="276" w:lineRule="auto"/>
        <w:ind w:left="567"/>
        <w:jc w:val="both"/>
      </w:pPr>
      <w:r>
        <w:rPr>
          <w:rFonts w:ascii="Calibri" w:hAnsi="Calibri"/>
          <w:b/>
          <w:color w:val="1F2937"/>
          <w:sz w:val="22"/>
        </w:rPr>
        <w:t>Documentación interactiva:</w:t>
      </w:r>
      <w:r>
        <w:rPr>
          <w:rFonts w:ascii="Calibri" w:hAnsi="Calibri"/>
          <w:color w:val="1F2937"/>
          <w:sz w:val="22"/>
        </w:rPr>
        <w:t xml:space="preserve"> Swagger UI (generada automáticamente por FastAPI en /docs) y ReDoc (/redoc) para prueba manual de todos los endpoints</w:t>
      </w:r>
    </w:p>
    <w:p>
      <w:pPr>
        <w:pStyle w:val="ListBullet"/>
        <w:spacing w:before="0" w:after="60" w:line="276" w:lineRule="auto"/>
        <w:ind w:left="567"/>
        <w:jc w:val="both"/>
      </w:pPr>
      <w:r>
        <w:rPr>
          <w:rFonts w:ascii="Calibri" w:hAnsi="Calibri"/>
          <w:b/>
          <w:color w:val="1F2937"/>
          <w:sz w:val="22"/>
        </w:rPr>
        <w:t>Pruebas automatizadas:</w:t>
      </w:r>
      <w:r>
        <w:rPr>
          <w:rFonts w:ascii="Calibri" w:hAnsi="Calibri"/>
          <w:color w:val="1F2937"/>
          <w:sz w:val="22"/>
        </w:rPr>
        <w:t xml:space="preserve"> pytest con FastAPI TestClient y base de datos SQLite en memoria (tests/api/v1/)</w:t>
      </w:r>
    </w:p>
    <w:p>
      <w:pPr>
        <w:pStyle w:val="ListBullet"/>
        <w:spacing w:before="0" w:after="60" w:line="276" w:lineRule="auto"/>
        <w:ind w:left="567"/>
        <w:jc w:val="both"/>
      </w:pPr>
      <w:r>
        <w:rPr>
          <w:rFonts w:ascii="Calibri" w:hAnsi="Calibri"/>
          <w:b/>
          <w:color w:val="1F2937"/>
          <w:sz w:val="22"/>
        </w:rPr>
        <w:t>Cliente de pruebas HTTP:</w:t>
      </w:r>
      <w:r>
        <w:rPr>
          <w:rFonts w:ascii="Calibri" w:hAnsi="Calibri"/>
          <w:color w:val="1F2937"/>
          <w:sz w:val="22"/>
        </w:rPr>
        <w:t xml:space="preserve"> Postman / Thunder Client (extensión VS Code) para colecciones de prueba por módulo</w:t>
      </w:r>
    </w:p>
    <w:p>
      <w:pPr>
        <w:pStyle w:val="ListBullet"/>
        <w:spacing w:before="0" w:after="60" w:line="276" w:lineRule="auto"/>
        <w:ind w:left="567"/>
        <w:jc w:val="both"/>
      </w:pPr>
      <w:r>
        <w:rPr>
          <w:rFonts w:ascii="Calibri" w:hAnsi="Calibri"/>
          <w:b/>
          <w:color w:val="1F2937"/>
          <w:sz w:val="22"/>
        </w:rPr>
        <w:t>Mocking de dependencias:</w:t>
      </w:r>
      <w:r>
        <w:rPr>
          <w:rFonts w:ascii="Calibri" w:hAnsi="Calibri"/>
          <w:color w:val="1F2937"/>
          <w:sz w:val="22"/>
        </w:rPr>
        <w:t xml:space="preserve"> Inyección de override de get_db y get_current_user en FastAPI para pruebas aisladas</w:t>
      </w:r>
    </w:p>
    <w:p>
      <w:pPr>
        <w:pStyle w:val="ListBullet"/>
        <w:spacing w:before="0" w:after="60" w:line="276" w:lineRule="auto"/>
        <w:ind w:left="567"/>
        <w:jc w:val="both"/>
      </w:pPr>
      <w:r>
        <w:rPr>
          <w:rFonts w:ascii="Calibri" w:hAnsi="Calibri"/>
          <w:b/>
          <w:color w:val="1F2937"/>
          <w:sz w:val="22"/>
        </w:rPr>
        <w:t>Pruebas de carga:</w:t>
      </w:r>
      <w:r>
        <w:rPr>
          <w:rFonts w:ascii="Calibri" w:hAnsi="Calibri"/>
          <w:color w:val="1F2937"/>
          <w:sz w:val="22"/>
        </w:rPr>
        <w:t xml:space="preserve"> Locust o k6 para validar rendimiento bajo carga concurrente</w:t>
      </w:r>
    </w:p>
    <w:p>
      <w:pPr>
        <w:pStyle w:val="ListBullet"/>
        <w:spacing w:before="0" w:after="60" w:line="276" w:lineRule="auto"/>
        <w:ind w:left="567"/>
        <w:jc w:val="both"/>
      </w:pPr>
      <w:r>
        <w:rPr>
          <w:rFonts w:ascii="Calibri" w:hAnsi="Calibri"/>
          <w:b/>
          <w:color w:val="1F2937"/>
          <w:sz w:val="22"/>
        </w:rPr>
        <w:t>Verificación de salud:</w:t>
      </w:r>
      <w:r>
        <w:rPr>
          <w:rFonts w:ascii="Calibri" w:hAnsi="Calibri"/>
          <w:color w:val="1F2937"/>
          <w:sz w:val="22"/>
        </w:rPr>
        <w:t xml:space="preserve"> Endpoint /health que valida conectividad con la base de datos</w:t>
      </w:r>
    </w:p>
    <w:p>
      <w:pPr>
        <w:spacing w:before="280" w:after="80"/>
        <w:jc w:val="left"/>
      </w:pPr>
      <w:r>
        <w:rPr>
          <w:rFonts w:ascii="Calibri" w:hAnsi="Calibri"/>
          <w:b/>
          <w:color w:val="1E3A8A"/>
          <w:sz w:val="24"/>
        </w:rPr>
        <w:t>g) IDE (Entorno de Desarrollo Integrado)</w:t>
      </w:r>
    </w:p>
    <w:p>
      <w:pPr>
        <w:spacing w:before="0" w:after="160" w:line="276" w:lineRule="auto"/>
        <w:ind w:left="283"/>
        <w:jc w:val="both"/>
      </w:pPr>
      <w:r>
        <w:rPr>
          <w:rFonts w:ascii="Calibri" w:hAnsi="Calibri"/>
          <w:color w:val="1F2937"/>
          <w:sz w:val="22"/>
        </w:rPr>
        <w:t>El equipo de desarrollo de AsmaSync utiliza los siguientes entornos de desarrollo integrado y herramientas de productividad para frontend, backend y base de datos:</w:t>
      </w:r>
    </w:p>
    <w:p>
      <w:pPr>
        <w:pStyle w:val="ListBullet"/>
        <w:spacing w:before="0" w:after="60" w:line="276" w:lineRule="auto"/>
        <w:ind w:left="567"/>
        <w:jc w:val="both"/>
      </w:pPr>
      <w:r>
        <w:rPr>
          <w:rFonts w:ascii="Calibri" w:hAnsi="Calibri"/>
          <w:b/>
          <w:color w:val="1F2937"/>
          <w:sz w:val="22"/>
        </w:rPr>
        <w:t>Backend (Python / FastAPI):</w:t>
      </w:r>
      <w:r>
        <w:rPr>
          <w:rFonts w:ascii="Calibri" w:hAnsi="Calibri"/>
          <w:color w:val="1F2937"/>
          <w:sz w:val="22"/>
        </w:rPr>
        <w:t xml:space="preserve"> Visual Studio Code con extensiones Python, Pylance, Ruff (linter), autoDocstring y Docker</w:t>
      </w:r>
    </w:p>
    <w:p>
      <w:pPr>
        <w:pStyle w:val="ListBullet"/>
        <w:spacing w:before="0" w:after="60" w:line="276" w:lineRule="auto"/>
        <w:ind w:left="567"/>
        <w:jc w:val="both"/>
      </w:pPr>
      <w:r>
        <w:rPr>
          <w:rFonts w:ascii="Calibri" w:hAnsi="Calibri"/>
          <w:b/>
          <w:color w:val="1F2937"/>
          <w:sz w:val="22"/>
        </w:rPr>
        <w:t>Frontend (Angular 17 / TypeScript):</w:t>
      </w:r>
      <w:r>
        <w:rPr>
          <w:rFonts w:ascii="Calibri" w:hAnsi="Calibri"/>
          <w:color w:val="1F2937"/>
          <w:sz w:val="22"/>
        </w:rPr>
        <w:t xml:space="preserve"> Visual Studio Code con extensiones Angular Language Service, ESLint, Prettier y Tailwind CSS IntelliSense</w:t>
      </w:r>
    </w:p>
    <w:p>
      <w:pPr>
        <w:pStyle w:val="ListBullet"/>
        <w:spacing w:before="0" w:after="60" w:line="276" w:lineRule="auto"/>
        <w:ind w:left="567"/>
        <w:jc w:val="both"/>
      </w:pPr>
      <w:r>
        <w:rPr>
          <w:rFonts w:ascii="Calibri" w:hAnsi="Calibri"/>
          <w:b/>
          <w:color w:val="1F2937"/>
          <w:sz w:val="22"/>
        </w:rPr>
        <w:t>Control de versiones:</w:t>
      </w:r>
      <w:r>
        <w:rPr>
          <w:rFonts w:ascii="Calibri" w:hAnsi="Calibri"/>
          <w:color w:val="1F2937"/>
          <w:sz w:val="22"/>
        </w:rPr>
        <w:t xml:space="preserve"> Git + GitHub con flujo de trabajo feature branches y pull requests</w:t>
      </w:r>
    </w:p>
    <w:p>
      <w:pPr>
        <w:pStyle w:val="ListBullet"/>
        <w:spacing w:before="0" w:after="60" w:line="276" w:lineRule="auto"/>
        <w:ind w:left="567"/>
        <w:jc w:val="both"/>
      </w:pPr>
      <w:r>
        <w:rPr>
          <w:rFonts w:ascii="Calibri" w:hAnsi="Calibri"/>
          <w:b/>
          <w:color w:val="1F2937"/>
          <w:sz w:val="22"/>
        </w:rPr>
        <w:t>Gestión de base de datos:</w:t>
      </w:r>
      <w:r>
        <w:rPr>
          <w:rFonts w:ascii="Calibri" w:hAnsi="Calibri"/>
          <w:color w:val="1F2937"/>
          <w:sz w:val="22"/>
        </w:rPr>
        <w:t xml:space="preserve"> DBeaver Community (PostgreSQL) y Supabase Studio (interfaz web)</w:t>
      </w:r>
    </w:p>
    <w:p>
      <w:pPr>
        <w:pStyle w:val="ListBullet"/>
        <w:spacing w:before="0" w:after="60" w:line="276" w:lineRule="auto"/>
        <w:ind w:left="567"/>
        <w:jc w:val="both"/>
      </w:pPr>
      <w:r>
        <w:rPr>
          <w:rFonts w:ascii="Calibri" w:hAnsi="Calibri"/>
          <w:b/>
          <w:color w:val="1F2937"/>
          <w:sz w:val="22"/>
        </w:rPr>
        <w:t>Containerización:</w:t>
      </w:r>
      <w:r>
        <w:rPr>
          <w:rFonts w:ascii="Calibri" w:hAnsi="Calibri"/>
          <w:color w:val="1F2937"/>
          <w:sz w:val="22"/>
        </w:rPr>
        <w:t xml:space="preserve"> Docker Desktop para Windows con soporte WSL2</w:t>
      </w:r>
    </w:p>
    <w:p>
      <w:pPr>
        <w:pStyle w:val="ListBullet"/>
        <w:spacing w:before="0" w:after="60" w:line="276" w:lineRule="auto"/>
        <w:ind w:left="567"/>
        <w:jc w:val="both"/>
      </w:pPr>
      <w:r>
        <w:rPr>
          <w:rFonts w:ascii="Calibri" w:hAnsi="Calibri"/>
          <w:b/>
          <w:color w:val="1F2937"/>
          <w:sz w:val="22"/>
        </w:rPr>
        <w:t>Gestión de entorno Python:</w:t>
      </w:r>
      <w:r>
        <w:rPr>
          <w:rFonts w:ascii="Calibri" w:hAnsi="Calibri"/>
          <w:color w:val="1F2937"/>
          <w:sz w:val="22"/>
        </w:rPr>
        <w:t xml:space="preserve"> Virtual Environment (venv) aislado por proyecto</w:t>
      </w:r>
    </w:p>
    <w:p>
      <w:pPr>
        <w:spacing w:before="280" w:after="80"/>
        <w:jc w:val="left"/>
      </w:pPr>
      <w:r>
        <w:rPr>
          <w:rFonts w:ascii="Calibri" w:hAnsi="Calibri"/>
          <w:b/>
          <w:color w:val="1E3A8A"/>
          <w:sz w:val="24"/>
        </w:rPr>
        <w:t>h) Documentación</w:t>
      </w:r>
    </w:p>
    <w:p>
      <w:pPr>
        <w:spacing w:before="0" w:after="160" w:line="276" w:lineRule="auto"/>
        <w:ind w:left="283"/>
        <w:jc w:val="both"/>
      </w:pPr>
      <w:r>
        <w:rPr>
          <w:rFonts w:ascii="Calibri" w:hAnsi="Calibri"/>
          <w:color w:val="1F2937"/>
          <w:sz w:val="22"/>
        </w:rPr>
        <w:t>La documentación del Web Service de AsmaSync sigue un enfoque de documentación viva (living documentation), generada en su mayor parte de forma automática a partir del código fuente, complementada con artefactos escritos del proyecto.</w:t>
      </w:r>
    </w:p>
    <w:p>
      <w:pPr>
        <w:pStyle w:val="ListBullet"/>
        <w:spacing w:before="0" w:after="60" w:line="276" w:lineRule="auto"/>
        <w:ind w:left="567"/>
        <w:jc w:val="both"/>
      </w:pPr>
      <w:r>
        <w:rPr>
          <w:rFonts w:ascii="Calibri" w:hAnsi="Calibri"/>
          <w:b/>
          <w:color w:val="1F2937"/>
          <w:sz w:val="22"/>
        </w:rPr>
        <w:t>OpenAPI 3.0 (Swagger):</w:t>
      </w:r>
      <w:r>
        <w:rPr>
          <w:rFonts w:ascii="Calibri" w:hAnsi="Calibri"/>
          <w:color w:val="1F2937"/>
          <w:sz w:val="22"/>
        </w:rPr>
        <w:t xml:space="preserve"> Generada automáticamente por FastAPI en /docs, con descripción de cada endpoint, parámetros, cuerpos de petición y esquemas de respuesta</w:t>
      </w:r>
    </w:p>
    <w:p>
      <w:pPr>
        <w:pStyle w:val="ListBullet"/>
        <w:spacing w:before="0" w:after="60" w:line="276" w:lineRule="auto"/>
        <w:ind w:left="567"/>
        <w:jc w:val="both"/>
      </w:pPr>
      <w:r>
        <w:rPr>
          <w:rFonts w:ascii="Calibri" w:hAnsi="Calibri"/>
          <w:b/>
          <w:color w:val="1F2937"/>
          <w:sz w:val="22"/>
        </w:rPr>
        <w:t>ReDoc:</w:t>
      </w:r>
      <w:r>
        <w:rPr>
          <w:rFonts w:ascii="Calibri" w:hAnsi="Calibri"/>
          <w:color w:val="1F2937"/>
          <w:sz w:val="22"/>
        </w:rPr>
        <w:t xml:space="preserve"> Documentación alternativa con formato de referencia en /redoc</w:t>
      </w:r>
    </w:p>
    <w:p>
      <w:pPr>
        <w:pStyle w:val="ListBullet"/>
        <w:spacing w:before="0" w:after="60" w:line="276" w:lineRule="auto"/>
        <w:ind w:left="567"/>
        <w:jc w:val="both"/>
      </w:pPr>
      <w:r>
        <w:rPr>
          <w:rFonts w:ascii="Calibri" w:hAnsi="Calibri"/>
          <w:b/>
          <w:color w:val="1F2937"/>
          <w:sz w:val="22"/>
        </w:rPr>
        <w:t>Docstrings Python:</w:t>
      </w:r>
      <w:r>
        <w:rPr>
          <w:rFonts w:ascii="Calibri" w:hAnsi="Calibri"/>
          <w:color w:val="1F2937"/>
          <w:sz w:val="22"/>
        </w:rPr>
        <w:t xml:space="preserve"> Cada función de ruta documentada con docstring descriptivo del comportamiento, parámetros y posibles errores</w:t>
      </w:r>
    </w:p>
    <w:p>
      <w:pPr>
        <w:pStyle w:val="ListBullet"/>
        <w:spacing w:before="0" w:after="60" w:line="276" w:lineRule="auto"/>
        <w:ind w:left="567"/>
        <w:jc w:val="both"/>
      </w:pPr>
      <w:r>
        <w:rPr>
          <w:rFonts w:ascii="Calibri" w:hAnsi="Calibri"/>
          <w:b/>
          <w:color w:val="1F2937"/>
          <w:sz w:val="22"/>
        </w:rPr>
        <w:t>README.md:</w:t>
      </w:r>
      <w:r>
        <w:rPr>
          <w:rFonts w:ascii="Calibri" w:hAnsi="Calibri"/>
          <w:color w:val="1F2937"/>
          <w:sz w:val="22"/>
        </w:rPr>
        <w:t xml:space="preserve"> Instrucciones de instalación, configuración de variables de entorno y arranque del proyecto</w:t>
      </w:r>
    </w:p>
    <w:p>
      <w:pPr>
        <w:pStyle w:val="ListBullet"/>
        <w:spacing w:before="0" w:after="60" w:line="276" w:lineRule="auto"/>
        <w:ind w:left="567"/>
        <w:jc w:val="both"/>
      </w:pPr>
      <w:r>
        <w:rPr>
          <w:rFonts w:ascii="Calibri" w:hAnsi="Calibri"/>
          <w:b/>
          <w:color w:val="1F2937"/>
          <w:sz w:val="22"/>
        </w:rPr>
        <w:t>MANUAL_USUARIO.md:</w:t>
      </w:r>
      <w:r>
        <w:rPr>
          <w:rFonts w:ascii="Calibri" w:hAnsi="Calibri"/>
          <w:color w:val="1F2937"/>
          <w:sz w:val="22"/>
        </w:rPr>
        <w:t xml:space="preserve"> Manual técnico de 40+ páginas con flujos de uso del dashboard</w:t>
      </w:r>
    </w:p>
    <w:p>
      <w:pPr>
        <w:pStyle w:val="ListBullet"/>
        <w:spacing w:before="0" w:after="60" w:line="276" w:lineRule="auto"/>
        <w:ind w:left="567"/>
        <w:jc w:val="both"/>
      </w:pPr>
      <w:r>
        <w:rPr>
          <w:rFonts w:ascii="Calibri" w:hAnsi="Calibri"/>
          <w:b/>
          <w:color w:val="1F2937"/>
          <w:sz w:val="22"/>
        </w:rPr>
        <w:t>CHANGELOG_DB_API.md:</w:t>
      </w:r>
      <w:r>
        <w:rPr>
          <w:rFonts w:ascii="Calibri" w:hAnsi="Calibri"/>
          <w:color w:val="1F2937"/>
          <w:sz w:val="22"/>
        </w:rPr>
        <w:t xml:space="preserve"> Registro de cambios en el esquema de base de datos y la API</w:t>
      </w:r>
    </w:p>
    <w:p>
      <w:pPr>
        <w:pStyle w:val="ListBullet"/>
        <w:spacing w:before="0" w:after="60" w:line="276" w:lineRule="auto"/>
        <w:ind w:left="567"/>
        <w:jc w:val="both"/>
      </w:pPr>
      <w:r>
        <w:rPr>
          <w:rFonts w:ascii="Calibri" w:hAnsi="Calibri"/>
          <w:b/>
          <w:color w:val="1F2937"/>
          <w:sz w:val="22"/>
        </w:rPr>
        <w:t>Artefactos de seguridad:</w:t>
      </w:r>
      <w:r>
        <w:rPr>
          <w:rFonts w:ascii="Calibri" w:hAnsi="Calibri"/>
          <w:color w:val="1F2937"/>
          <w:sz w:val="22"/>
        </w:rPr>
        <w:t xml:space="preserve"> Security_Audit_Report.md con análisis STRIDE y plan de remediación</w:t>
      </w:r>
    </w:p>
    <w:p>
      <w:r>
        <w:br w:type="page"/>
      </w:r>
    </w:p>
    <w:p>
      <w:pPr>
        <w:spacing w:before="360" w:after="120"/>
        <w:jc w:val="left"/>
      </w:pPr>
      <w:r>
        <w:rPr>
          <w:rFonts w:ascii="Calibri" w:hAnsi="Calibri"/>
          <w:b/>
          <w:color w:val="2563EB"/>
          <w:sz w:val="28"/>
        </w:rPr>
        <w:t>Tabla de Peticiones del Web Service</w:t>
      </w:r>
    </w:p>
    <w:p>
      <w:pPr>
        <w:spacing w:before="120" w:after="120"/>
        <w:pBdr>
          <w:bottom w:val="single" w:sz="6" w:space="1" w:color="BFDBFE"/>
        </w:pBdr>
      </w:pPr>
    </w:p>
    <w:p>
      <w:pPr>
        <w:spacing w:before="0" w:after="160" w:line="276" w:lineRule="auto"/>
        <w:ind w:left="283"/>
        <w:jc w:val="both"/>
      </w:pPr>
      <w:r>
        <w:rPr>
          <w:rFonts w:ascii="Calibri" w:hAnsi="Calibri"/>
          <w:color w:val="1F2937"/>
          <w:sz w:val="22"/>
        </w:rPr>
        <w:t>A continuación se presenta el catálogo completo de las operaciones (requests) que expone el Web Service de AsmaSync, documentadas conforme al protocolo REST. Todas las peticiones utilizan JSON como formato de intercambio de datos, excepto el endpoint de generación de reportes (PDF binario).</w:t>
      </w:r>
    </w:p>
    <w:p>
      <w:pPr>
        <w:spacing w:after="120"/>
      </w:pP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381"/>
            <w:shd w:val="clear" w:color="auto" w:fill="1E3A8A"/>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60" w:after="60"/>
              <w:jc w:val="center"/>
            </w:pPr>
            <w:r>
              <w:rPr>
                <w:rFonts w:ascii="Calibri" w:hAnsi="Calibri"/>
                <w:b/>
                <w:color w:val="FFFFFF"/>
                <w:sz w:val="18"/>
              </w:rPr>
              <w:t>Operación</w:t>
            </w:r>
          </w:p>
        </w:tc>
        <w:tc>
          <w:tcPr>
            <w:tcW w:type="dxa" w:w="1134"/>
            <w:shd w:val="clear" w:color="auto" w:fill="1E3A8A"/>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60" w:after="60"/>
              <w:jc w:val="center"/>
            </w:pPr>
            <w:r>
              <w:rPr>
                <w:rFonts w:ascii="Calibri" w:hAnsi="Calibri"/>
                <w:b/>
                <w:color w:val="FFFFFF"/>
                <w:sz w:val="18"/>
              </w:rPr>
              <w:t>Método HTTP</w:t>
            </w:r>
          </w:p>
        </w:tc>
        <w:tc>
          <w:tcPr>
            <w:tcW w:type="dxa" w:w="3288"/>
            <w:shd w:val="clear" w:color="auto" w:fill="1E3A8A"/>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60" w:after="60"/>
              <w:jc w:val="center"/>
            </w:pPr>
            <w:r>
              <w:rPr>
                <w:rFonts w:ascii="Calibri" w:hAnsi="Calibri"/>
                <w:b/>
                <w:color w:val="FFFFFF"/>
                <w:sz w:val="18"/>
              </w:rPr>
              <w:t>Endpoint</w:t>
            </w:r>
          </w:p>
        </w:tc>
        <w:tc>
          <w:tcPr>
            <w:tcW w:type="dxa" w:w="2438"/>
            <w:shd w:val="clear" w:color="auto" w:fill="1E3A8A"/>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60" w:after="60"/>
              <w:jc w:val="center"/>
            </w:pPr>
            <w:r>
              <w:rPr>
                <w:rFonts w:ascii="Calibri" w:hAnsi="Calibri"/>
                <w:b/>
                <w:color w:val="FFFFFF"/>
                <w:sz w:val="18"/>
              </w:rPr>
              <w:t>Entradas (formato)</w:t>
            </w:r>
          </w:p>
        </w:tc>
        <w:tc>
          <w:tcPr>
            <w:tcW w:type="dxa" w:w="1814"/>
            <w:shd w:val="clear" w:color="auto" w:fill="1E3A8A"/>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60" w:after="60"/>
              <w:jc w:val="center"/>
            </w:pPr>
            <w:r>
              <w:rPr>
                <w:rFonts w:ascii="Calibri" w:hAnsi="Calibri"/>
                <w:b/>
                <w:color w:val="FFFFFF"/>
                <w:sz w:val="18"/>
              </w:rPr>
              <w:t>Salidas (formato)</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Registro de usuario</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/api/auth/register</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(full_name, role)</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(user, message)</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Verificar token JWT</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/api/auth/verify</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(user)</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Obtener perfil de usuario</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/api/auth/profile</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(UserProfile)</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Actualizar perfil de usuario</w:t>
            </w:r>
          </w:p>
        </w:tc>
        <w:tc>
          <w:tcPr>
            <w:tcW w:type="dxa" w:w="1134"/>
            <w:shd w:val="clear" w:color="auto" w:fill="FFFBEB"/>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B45309"/>
                <w:sz w:val="17"/>
              </w:rPr>
              <w:t>PUT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/api/auth/profile</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(profile data)</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(UserProfile)</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Asignar doctor a paciente</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/api/auth/assign-doctor</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Query (doctor_code)</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(message)</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Listar pacientes del doctor</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/api/patients</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(List[Patient])</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Obtener paciente por ID</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/api/patients/{patient_id}</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Path (patient_id)</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(Patient)</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Registrar nuevo paciente</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/api/patients</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(patient data)</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(Patient)</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Actualizar datos de paciente</w:t>
            </w:r>
          </w:p>
        </w:tc>
        <w:tc>
          <w:tcPr>
            <w:tcW w:type="dxa" w:w="1134"/>
            <w:shd w:val="clear" w:color="auto" w:fill="F5F3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6D28D9"/>
                <w:sz w:val="17"/>
              </w:rPr>
              <w:t>PATCH</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/api/patients/{patient_id}</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(partial data)</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(Patient)</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Eliminar paciente</w:t>
            </w:r>
          </w:p>
        </w:tc>
        <w:tc>
          <w:tcPr>
            <w:tcW w:type="dxa" w:w="1134"/>
            <w:shd w:val="clear" w:color="auto" w:fill="FEF2F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B91C1C"/>
                <w:sz w:val="17"/>
              </w:rPr>
              <w:t>DELETE</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/api/patients/{patient_id}</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Path (patient_id)</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HTTP 204 No Content</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Registrar medición espirométrica (PEF)</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/api/measurements/spirometer</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(pef, fev1, symptoms)</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(SpirometerResponse)</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Registrar signos vitales (SpO2, FC)</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/api/measurements/vitals</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(spo2, heart_rate)</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(VitalSignResponse)</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Listar historial de mediciones</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/api/measurements/history</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Query (limit, offset)</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(List[MeasurementHistory])</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Tendencia semanal PEF</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/api/measurements/weekly-trend</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(WeeklyTrendResponse)</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Actualizar síntomas de lectura</w:t>
            </w:r>
          </w:p>
        </w:tc>
        <w:tc>
          <w:tcPr>
            <w:tcW w:type="dxa" w:w="1134"/>
            <w:shd w:val="clear" w:color="auto" w:fill="F5F3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6D28D9"/>
                <w:sz w:val="17"/>
              </w:rPr>
              <w:t>PATCH</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/api/measurements/spirometer/{id}/symptoms</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(symptoms, intensity)</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(SpirometerResponse)</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Listar citas médicas</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/api/appointments</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(List[Appointment])</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Crear cita médica</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/api/appointments</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(date, patient_id, notes)</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(Appointment)</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Actualizar estado de cita</w:t>
            </w:r>
          </w:p>
        </w:tc>
        <w:tc>
          <w:tcPr>
            <w:tcW w:type="dxa" w:w="1134"/>
            <w:shd w:val="clear" w:color="auto" w:fill="F5F3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6D28D9"/>
                <w:sz w:val="17"/>
              </w:rPr>
              <w:t>PATCH</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/api/appointments/{id}</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(status, notes)</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(Appointment)</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Cancelar cita médica</w:t>
            </w:r>
          </w:p>
        </w:tc>
        <w:tc>
          <w:tcPr>
            <w:tcW w:type="dxa" w:w="1134"/>
            <w:shd w:val="clear" w:color="auto" w:fill="FEF2F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B91C1C"/>
                <w:sz w:val="17"/>
              </w:rPr>
              <w:t>DELETE</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/api/appointments/{id}</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Path (id)</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HTTP 204 No Content</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Obtener plan de acción del paciente</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/api/patients/{id}/action-plan</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Path (id)</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(ActionPlan)</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Actualizar plan de acción</w:t>
            </w:r>
          </w:p>
        </w:tc>
        <w:tc>
          <w:tcPr>
            <w:tcW w:type="dxa" w:w="1134"/>
            <w:shd w:val="clear" w:color="auto" w:fill="FFFBEB"/>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B45309"/>
                <w:sz w:val="17"/>
              </w:rPr>
              <w:t>PUT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/api/patients/{id}/action-plan</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JSON (zones, steps)</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(ActionPlan)</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Listar notificaciones</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/api/notifications</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(List[Notification])</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Obtener predicción de riesgo</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/api/predictions/latest</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(Prediction, risk_level)</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Generar reporte PDF</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/api/reports/pdf/{patient_id}</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 Path (patient_id)</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application/pdf (binario)</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Obtener estadísticas del dashboard</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/api/dashboard/stats</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(DashboardStats)</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Listar hospitales</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/api/hospitals</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Bearer Token (Header)</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(List[Hospital])</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Invitar doctor (Admin)</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/api/admin/invite-doctor</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API Key/JWT + JSON (email, specialty)</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(message, doctor_id)</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Listar doctores (Admin)</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/api/admin/doctors</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API Key/JWT (Header)</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(List[Doctor])</w:t>
            </w:r>
          </w:p>
        </w:tc>
      </w:tr>
      <w:tr>
        <w:tc>
          <w:tcPr>
            <w:tcW w:type="dxa" w:w="2381"/>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Cambiar rol de usuario (Admin)</w:t>
            </w:r>
          </w:p>
        </w:tc>
        <w:tc>
          <w:tcPr>
            <w:tcW w:type="dxa" w:w="1134"/>
            <w:shd w:val="clear" w:color="auto" w:fill="EFF6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D4ED8"/>
                <w:sz w:val="17"/>
              </w:rPr>
              <w:t>POST</w:t>
            </w:r>
          </w:p>
        </w:tc>
        <w:tc>
          <w:tcPr>
            <w:tcW w:type="dxa" w:w="328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/api/admin/users/{id}/role</w:t>
            </w:r>
          </w:p>
        </w:tc>
        <w:tc>
          <w:tcPr>
            <w:tcW w:type="dxa" w:w="2438"/>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API Key/JWT + JSON (role)</w:t>
            </w:r>
          </w:p>
        </w:tc>
        <w:tc>
          <w:tcPr>
            <w:tcW w:type="dxa" w:w="1814"/>
            <w:shd w:val="clear" w:color="auto" w:fill="FFFFFF"/>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(message, new_role)</w:t>
            </w:r>
          </w:p>
        </w:tc>
      </w:tr>
      <w:tr>
        <w:tc>
          <w:tcPr>
            <w:tcW w:type="dxa" w:w="2381"/>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ind w:left="57"/>
            </w:pPr>
            <w:r>
              <w:rPr>
                <w:rFonts w:ascii="Calibri" w:hAnsi="Calibri"/>
                <w:color w:val="1F2937"/>
                <w:sz w:val="17"/>
              </w:rPr>
              <w:t>Verificar salud del servicio</w:t>
            </w:r>
          </w:p>
        </w:tc>
        <w:tc>
          <w:tcPr>
            <w:tcW w:type="dxa" w:w="1134"/>
            <w:shd w:val="clear" w:color="auto" w:fill="F0FDF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jc w:val="center"/>
            </w:pPr>
            <w:r>
              <w:rPr>
                <w:rFonts w:ascii="Calibri" w:hAnsi="Calibri"/>
                <w:b/>
                <w:color w:val="15803D"/>
                <w:sz w:val="17"/>
              </w:rPr>
              <w:t>GET</w:t>
            </w:r>
          </w:p>
        </w:tc>
        <w:tc>
          <w:tcPr>
            <w:tcW w:type="dxa" w:w="328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onsolas" w:hAnsi="Consolas"/>
                <w:color w:val="4B5563"/>
                <w:sz w:val="16"/>
              </w:rPr>
              <w:t>/health</w:t>
            </w:r>
          </w:p>
        </w:tc>
        <w:tc>
          <w:tcPr>
            <w:tcW w:type="dxa" w:w="2438"/>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N/A</w:t>
            </w:r>
          </w:p>
        </w:tc>
        <w:tc>
          <w:tcPr>
            <w:tcW w:type="dxa" w:w="1814"/>
            <w:shd w:val="clear" w:color="auto" w:fill="F8FAFC"/>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40" w:after="40"/>
            </w:pPr>
            <w:r>
              <w:rPr>
                <w:rFonts w:ascii="Calibri" w:hAnsi="Calibri"/>
                <w:color w:val="4B5563"/>
                <w:sz w:val="17"/>
              </w:rPr>
              <w:t>JSON (status, database)</w:t>
            </w:r>
          </w:p>
        </w:tc>
      </w:tr>
    </w:tbl>
    <w:p>
      <w:pPr>
        <w:spacing w:after="120"/>
      </w:pPr>
    </w:p>
    <w:p>
      <w:pPr>
        <w:jc w:val="left"/>
      </w:pPr>
      <w:r>
        <w:rPr>
          <w:rFonts w:ascii="Calibri" w:hAnsi="Calibri"/>
          <w:b/>
          <w:color w:val="374151"/>
          <w:sz w:val="18"/>
        </w:rPr>
        <w:t xml:space="preserve">Leyenda de métodos HTTP: </w:t>
      </w:r>
      <w:r>
        <w:rPr>
          <w:rFonts w:ascii="Calibri" w:hAnsi="Calibri"/>
          <w:b/>
          <w:color w:val="15803D"/>
          <w:sz w:val="18"/>
        </w:rPr>
        <w:t xml:space="preserve">  GET </w:t>
      </w:r>
      <w:r>
        <w:rPr>
          <w:rFonts w:ascii="Calibri" w:hAnsi="Calibri"/>
          <w:b/>
          <w:color w:val="1D4ED8"/>
          <w:sz w:val="18"/>
        </w:rPr>
        <w:t xml:space="preserve">  POST </w:t>
      </w:r>
      <w:r>
        <w:rPr>
          <w:rFonts w:ascii="Calibri" w:hAnsi="Calibri"/>
          <w:b/>
          <w:color w:val="B45309"/>
          <w:sz w:val="18"/>
        </w:rPr>
        <w:t xml:space="preserve">  PUT </w:t>
      </w:r>
      <w:r>
        <w:rPr>
          <w:rFonts w:ascii="Calibri" w:hAnsi="Calibri"/>
          <w:b/>
          <w:color w:val="6D28D9"/>
          <w:sz w:val="18"/>
        </w:rPr>
        <w:t xml:space="preserve">  PATCH </w:t>
      </w:r>
      <w:r>
        <w:rPr>
          <w:rFonts w:ascii="Calibri" w:hAnsi="Calibri"/>
          <w:b/>
          <w:color w:val="B91C1C"/>
          <w:sz w:val="18"/>
        </w:rPr>
        <w:t xml:space="preserve">  DELETE </w:t>
      </w:r>
    </w:p>
    <w:p>
      <w:pPr>
        <w:spacing w:before="400"/>
      </w:pPr>
    </w:p>
    <w:p>
      <w:pPr>
        <w:spacing w:before="120" w:after="120"/>
        <w:pBdr>
          <w:bottom w:val="single" w:sz="6" w:space="1" w:color="BFDBFE"/>
        </w:pBdr>
      </w:pPr>
    </w:p>
    <w:p>
      <w:pPr>
        <w:jc w:val="center"/>
      </w:pPr>
      <w:r>
        <w:rPr>
          <w:rFonts w:ascii="Calibri" w:hAnsi="Calibri"/>
          <w:i/>
          <w:color w:val="9CA3AF"/>
          <w:sz w:val="18"/>
        </w:rPr>
        <w:t>AsmaSync · Proyecto Integrador · Junio 2026 · Protocolo REST — Formato de intercambio: JSON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