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del Centro de Veracruz (UTCV)</w:t>
      </w:r>
    </w:p>
    <w:p>
      <w:pPr>
        <w:jc w:val="center"/>
      </w:pPr>
      <w:r>
        <w:rPr>
          <w:i/>
          <w:sz w:val="24"/>
        </w:rPr>
        <w:t>Proyecto Integrador — AsmaSync</w:t>
        <w:br/>
        <w:t>Monitoreo Clínico y Predicción de Crisis Asmáticas</w:t>
      </w:r>
    </w:p>
    <w:p>
      <w:pPr>
        <w:spacing w:before="360" w:after="360"/>
        <w:jc w:val="center"/>
      </w:pPr>
      <w:r>
        <w:rPr>
          <w:b/>
          <w:sz w:val="32"/>
        </w:rPr>
        <w:t>REPORTE DE PRUEBAS DE SOFTWARE</w:t>
        <w:br/>
        <w:t>(ACTIVIDAD 7)</w:t>
      </w:r>
    </w:p>
    <w:p>
      <w:pPr>
        <w:spacing w:before="240" w:after="80"/>
      </w:pPr>
      <w:r>
        <w:rPr>
          <w:rFonts w:ascii="Arial" w:hAnsi="Arial"/>
          <w:b/>
          <w:sz w:val="28"/>
        </w:rPr>
        <w:t>1. Plan de Pruebas (Estrategia y Herramientas)</w:t>
      </w:r>
    </w:p>
    <w:p>
      <w:pPr>
        <w:ind w:firstLine="720"/>
        <w:jc w:val="both"/>
      </w:pPr>
      <w:r>
        <w:rPr>
          <w:rFonts w:ascii="Arial" w:hAnsi="Arial"/>
          <w:sz w:val="24"/>
        </w:rPr>
        <w:t>El aseguramiento de la calidad (QA) del sistema AsmaSync se diseñó utilizando un enfoque multinivel, combinando pruebas automatizadas de código con pruebas funcionales manuales e integrales. Esto garantiza la integridad de los datos médicos recopilados, la resiliencia de la interfaz del Dashboard frente a fallos de red y la correcta entrega de alertas de salud en tiempo real a los pacientes clínicos correspondientes.</w:t>
      </w:r>
    </w:p>
    <w:p>
      <w:pPr>
        <w:spacing w:before="240" w:after="80"/>
      </w:pPr>
      <w:r>
        <w:rPr>
          <w:rFonts w:ascii="Arial" w:hAnsi="Arial"/>
          <w:b/>
          <w:sz w:val="24"/>
        </w:rPr>
        <w:t>1.1 Justificación del Tipo de Pruebas</w:t>
      </w:r>
    </w:p>
    <w:p>
      <w:pPr>
        <w:pStyle w:val="ListBullet"/>
        <w:jc w:val="both"/>
      </w:pPr>
      <w:r>
        <w:rPr>
          <w:rFonts w:ascii="Arial" w:hAnsi="Arial"/>
          <w:b/>
          <w:sz w:val="24"/>
        </w:rPr>
        <w:t>Pruebas Unitarias y de Componentes (Frontend &amp; Backend)</w:t>
      </w:r>
      <w:r>
        <w:rPr>
          <w:rFonts w:ascii="Arial" w:hAnsi="Arial"/>
          <w:b/>
          <w:sz w:val="24"/>
        </w:rPr>
        <w:t xml:space="preserve">: </w:t>
      </w:r>
      <w:r>
        <w:rPr>
          <w:rFonts w:ascii="Arial" w:hAnsi="Arial"/>
          <w:sz w:val="24"/>
        </w:rPr>
        <w:t>Aseguran que cada módulo aislado de lógica y cada componente visual independiente responda a las condiciones de frontera de manera correcta y rápida. El dashboard médico en Angular y la API de predicción de crisis asmáticas en FastAPI contienen lógica sensible (como el cálculo del IMC, mapeo de rangos de riesgo verde/amarillo/rojo, o interceptores de resiliencia de red) que requieren un aislamiento estricto para prevenir regresiones al modificar el código base.</w:t>
      </w:r>
    </w:p>
    <w:p>
      <w:pPr>
        <w:pStyle w:val="ListBullet"/>
        <w:jc w:val="both"/>
      </w:pPr>
      <w:r>
        <w:rPr>
          <w:rFonts w:ascii="Arial" w:hAnsi="Arial"/>
          <w:b/>
          <w:sz w:val="24"/>
        </w:rPr>
        <w:t>Pruebas de Integración y Servicios Web (M2M / API)</w:t>
      </w:r>
      <w:r>
        <w:rPr>
          <w:rFonts w:ascii="Arial" w:hAnsi="Arial"/>
          <w:b/>
          <w:sz w:val="24"/>
        </w:rPr>
        <w:t xml:space="preserve">: </w:t>
      </w:r>
      <w:r>
        <w:rPr>
          <w:rFonts w:ascii="Arial" w:hAnsi="Arial"/>
          <w:sz w:val="24"/>
        </w:rPr>
        <w:t>Validan la comunicación remota, el flujo de datos relacional y las restricciones de acceso por rol entre el cliente y el servidor. AsmaSync requiere la sincronización constante de biosensores IoT simulados enviando datos periódicos del paciente hacia FastAPI, persistiendo los datos en PostgreSQL e interactuando con la base documental. Estas pruebas confirman que los endpoints interactúan adecuadamente bajo esquemas de seguridad estrictos.</w:t>
      </w:r>
    </w:p>
    <w:p>
      <w:pPr>
        <w:pStyle w:val="ListBullet"/>
        <w:jc w:val="both"/>
      </w:pPr>
      <w:r>
        <w:rPr>
          <w:rFonts w:ascii="Arial" w:hAnsi="Arial"/>
          <w:b/>
          <w:sz w:val="24"/>
        </w:rPr>
        <w:t>Pruebas Manuales Funcionales y de Aceptación (End-to-End)</w:t>
      </w:r>
      <w:r>
        <w:rPr>
          <w:rFonts w:ascii="Arial" w:hAnsi="Arial"/>
          <w:b/>
          <w:sz w:val="24"/>
        </w:rPr>
        <w:t xml:space="preserve">: </w:t>
      </w:r>
      <w:r>
        <w:rPr>
          <w:rFonts w:ascii="Arial" w:hAnsi="Arial"/>
          <w:sz w:val="24"/>
        </w:rPr>
        <w:t>Simulan los flujos de trabajo de un médico clínico real (ej. registrar pacientes, consultar historial, emitir planes de acción en semáforo, y descargar reportes PDF). Hay aspectos como la usabilidad móvil responsiva, los popups de confirmación en diálogos y la experiencia de descarga de reportes clínicos que no pueden cubrirse en su totalidad con suites automáticas convencionales.</w:t>
      </w:r>
    </w:p>
    <w:p>
      <w:pPr>
        <w:spacing w:before="240" w:after="80"/>
      </w:pPr>
      <w:r>
        <w:rPr>
          <w:rFonts w:ascii="Arial" w:hAnsi="Arial"/>
          <w:b/>
          <w:sz w:val="24"/>
        </w:rPr>
        <w:t>1.2 Herramientas Utilizadas y Justificación</w:t>
      </w:r>
    </w:p>
    <w:p>
      <w:pPr>
        <w:pStyle w:val="ListBullet"/>
        <w:jc w:val="both"/>
      </w:pPr>
      <w:r>
        <w:rPr>
          <w:rFonts w:ascii="Arial" w:hAnsi="Arial"/>
          <w:b/>
          <w:sz w:val="24"/>
        </w:rPr>
        <w:t>Vitest y Angular TestBed (Pruebas del Frontend)</w:t>
      </w:r>
      <w:r>
        <w:rPr>
          <w:rFonts w:ascii="Arial" w:hAnsi="Arial"/>
          <w:b/>
          <w:sz w:val="24"/>
        </w:rPr>
        <w:t xml:space="preserve">: </w:t>
      </w:r>
      <w:r>
        <w:rPr>
          <w:rFonts w:ascii="Arial" w:hAnsi="Arial"/>
          <w:sz w:val="24"/>
        </w:rPr>
        <w:t>Se seleccionó Vitest por su velocidad de ejecución en comparación con Karma/Jasmine tradicionales. Junto a TestBed, permite renderizar componentes de Angular 17 en un entorno virtual (jsdom) simulando las interacciones del DOM para validar inyecciones de dependencias, interceptores de resiliencia y el comportamiento dinámico del dashboard.</w:t>
      </w:r>
    </w:p>
    <w:p>
      <w:pPr>
        <w:pStyle w:val="ListBullet"/>
        <w:jc w:val="both"/>
      </w:pPr>
      <w:r>
        <w:rPr>
          <w:rFonts w:ascii="Arial" w:hAnsi="Arial"/>
          <w:b/>
          <w:sz w:val="24"/>
        </w:rPr>
        <w:t>Pytest y SQLAlchemy (Pruebas del Backend)</w:t>
      </w:r>
      <w:r>
        <w:rPr>
          <w:rFonts w:ascii="Arial" w:hAnsi="Arial"/>
          <w:b/>
          <w:sz w:val="24"/>
        </w:rPr>
        <w:t xml:space="preserve">: </w:t>
      </w:r>
      <w:r>
        <w:rPr>
          <w:rFonts w:ascii="Arial" w:hAnsi="Arial"/>
          <w:sz w:val="24"/>
        </w:rPr>
        <w:t>Se utilizó pytest en conjunto con bases de datos en memoria SQLite (sqlite:///:memory:) para validar la consistencia de modelos de datos complejos, el firmado criptográfico de expedientes médicos y el control de accesos basados en roles (RBAC) sin contaminar la base de datos de desarrollo.</w:t>
      </w:r>
    </w:p>
    <w:p>
      <w:pPr>
        <w:pStyle w:val="ListBullet"/>
        <w:jc w:val="both"/>
      </w:pPr>
      <w:r>
        <w:rPr>
          <w:rFonts w:ascii="Arial" w:hAnsi="Arial"/>
          <w:b/>
          <w:sz w:val="24"/>
        </w:rPr>
        <w:t>Postman / Swagger UI</w:t>
      </w:r>
      <w:r>
        <w:rPr>
          <w:rFonts w:ascii="Arial" w:hAnsi="Arial"/>
          <w:b/>
          <w:sz w:val="24"/>
        </w:rPr>
        <w:t xml:space="preserve">: </w:t>
      </w:r>
      <w:r>
        <w:rPr>
          <w:rFonts w:ascii="Arial" w:hAnsi="Arial"/>
          <w:sz w:val="24"/>
        </w:rPr>
        <w:t>Empleado para pruebas exploratorias de consumo de endpoints, permitiendo simular peticiones remotas autenticadas por API Key o tokens JWT, estructurando payloads complejos para registrar manual entries o alertas y verificar las cabeceras HTTP de respuesta.</w:t>
      </w:r>
    </w:p>
    <w:p>
      <w:pPr>
        <w:pStyle w:val="ListBullet"/>
        <w:jc w:val="both"/>
      </w:pPr>
      <w:r>
        <w:rPr>
          <w:rFonts w:ascii="Arial" w:hAnsi="Arial"/>
          <w:b/>
          <w:sz w:val="24"/>
        </w:rPr>
        <w:t>Google Chrome DevTools (Network &amp; Console)</w:t>
      </w:r>
      <w:r>
        <w:rPr>
          <w:rFonts w:ascii="Arial" w:hAnsi="Arial"/>
          <w:b/>
          <w:sz w:val="24"/>
        </w:rPr>
        <w:t xml:space="preserve">: </w:t>
      </w:r>
      <w:r>
        <w:rPr>
          <w:rFonts w:ascii="Arial" w:hAnsi="Arial"/>
          <w:sz w:val="24"/>
        </w:rPr>
        <w:t>Empleado específicamente para auditar la conexión del WebSocket (puertos, latencias y mensajes de latido o heartbeat) y depurar el comportamiento del RenderResilienceInterceptor bajo simulación de fallas de red.</w:t>
      </w:r>
    </w:p>
    <w:p>
      <w:pPr>
        <w:spacing w:before="240" w:after="80"/>
      </w:pPr>
      <w:r>
        <w:rPr>
          <w:rFonts w:ascii="Arial" w:hAnsi="Arial"/>
          <w:b/>
          <w:sz w:val="28"/>
        </w:rPr>
        <w:t>2. Diseño de Casos de Pruebas</w:t>
      </w:r>
    </w:p>
    <w:p>
      <w:pPr>
        <w:ind w:firstLine="720"/>
        <w:jc w:val="both"/>
      </w:pPr>
      <w:r>
        <w:rPr>
          <w:rFonts w:ascii="Arial" w:hAnsi="Arial"/>
          <w:sz w:val="24"/>
        </w:rPr>
        <w:t>A continuación se presentan los casos de pruebas diseñados para el sistema AsmaSync, organizados de manera tabular detallando su descripción, precondiciones, pasos, resultado esperado y el estado obtenido tras la verificación:</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CP-AUTH-01: Autenticación de Médico vía JWT (Supabase Auth)</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un médico pueda iniciar sesión en el Dashboard de Angular, que el sistema almacene correctamente el token JWT devuelto en sessionStorage y se inyecte este token en la cabecera Authorization: Bearer en peticiones posteriores.</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backend y el servicio de Supabase Auth deben estar activos. Debe existir un usuario médico registrado.</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Acceder a la página de login de AsmaSync.</w:t>
              <w:br/>
              <w:t>2. Ingresar correo electrónico y contraseña válidos del médico.</w:t>
              <w:br/>
              <w:t>3. Hacer clic en 'Ingresar'.</w:t>
              <w:br/>
              <w:t>4. Inspeccionar la pestaña Storage &gt; Session Storage en Chrome DevTools.</w:t>
              <w:br/>
              <w:t>5. Navegar al listado de pacientes y observar el tráfico de red en Network.</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login es exitoso; el dashboard carga correctamente, el token se almacena en sessionStorage (no en localStorage) y todas las peticiones salientes a /api/v1/* incluyen el header 'Authorization: Bearer &lt;token&gt;'.</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token JWT se inyectó de forma transparente a través de AuthInterceptor y las vistas se cargaron adecuadamente.</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evidence_login.png"/>
                    <pic:cNvPicPr/>
                  </pic:nvPicPr>
                  <pic:blipFill>
                    <a:blip r:embed="rId9"/>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Interfaz de autenticacion del medico con credenciales de acceso seguro</w:t>
      </w:r>
    </w:p>
    <w:p>
      <w:pPr>
        <w:spacing w:before="120" w:after="80"/>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evidence_dashboard.png"/>
                    <pic:cNvPicPr/>
                  </pic:nvPicPr>
                  <pic:blipFill>
                    <a:blip r:embed="rId10"/>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Tablero principal del medico (Dashboard) tras inicio de sesion exitoso</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CP-PAT-01: Registro de Pacientes Clínicos en Dashboard</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el registro de un nuevo paciente en la red hospitalaria a través del formulario administrativo del Dashboard en Angular 17.</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Sesión de médico activa y permisos de escritura en la red hospitalaria.</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Ir a la sección 'Pacientes' y pulsar 'Agregar Paciente'.</w:t>
              <w:br/>
              <w:t>2. Rellenar el formulario con datos de prueba (Nombre, fecha de nacimiento, género y nivel de riesgo inicial).</w:t>
              <w:br/>
              <w:t>3. Pulsar en 'Guardar Paciente'.</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valida que los datos no contengan SQL Injection (mediante no-sql-injection.validator), se envía la petición POST al Web Service, y la base de datos registra el nuevo perfil de paciente en Postgres vinculando su ID correctamente.</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Los datos fueron insertados de forma exitosa en la base de datos PostgreSQL mediante el endpoint /api/v1/patients.</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evidence_patient_form_1.png"/>
                    <pic:cNvPicPr/>
                  </pic:nvPicPr>
                  <pic:blipFill>
                    <a:blip r:embed="rId11"/>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registro de paciente en Dashboard (Datos Personales)</w:t>
      </w:r>
    </w:p>
    <w:p>
      <w:pPr>
        <w:spacing w:before="120" w:after="80"/>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evidence_patient_form_2.png"/>
                    <pic:cNvPicPr/>
                  </pic:nvPicPr>
                  <pic:blipFill>
                    <a:blip r:embed="rId12"/>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registro de paciente en Dashboard (Datos Clinicos)</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CP-IOT-01: Ingesta y Simulación de Signos Vitales IoT</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Verificar que el endpoint de ingesta de mediciones IoT de espirómetro o signos vitales valide la firma de seguridad (API Key) y procese los datos de salud.</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simulador IoT de AsmaSync debe configurarse con la clave de dispositivo correcta.</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Enviar una petición HTTP POST a /api/v1/measurements desde el simulador de espirómetro que incluye el payload con signos vitales (oximetría, frecuencia respiratoria) y el header x-device-key.</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Web Service de FastAPI valida la llave, calcula el nivel de riesgo de crisis del paciente usando los modelos de Machine Learning integrados (Scikit-Learn) y almacena la serie temporal. Retorna un código HTTP 200 OK.</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La API procesa la métrica, corre la predicción de riesgo clínico y devuelve el estatus de éxito.</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6905"/>
            <wp:docPr id="5" name="Picture 5"/>
            <wp:cNvGraphicFramePr>
              <a:graphicFrameLocks noChangeAspect="1"/>
            </wp:cNvGraphicFramePr>
            <a:graphic>
              <a:graphicData uri="http://schemas.openxmlformats.org/drawingml/2006/picture">
                <pic:pic>
                  <pic:nvPicPr>
                    <pic:cNvPr id="0" name="evidence_patient_detail_red.png"/>
                    <pic:cNvPicPr/>
                  </pic:nvPicPr>
                  <pic:blipFill>
                    <a:blip r:embed="rId13"/>
                    <a:stretch>
                      <a:fillRect/>
                    </a:stretch>
                  </pic:blipFill>
                  <pic:spPr>
                    <a:xfrm>
                      <a:off x="0" y="0"/>
                      <a:ext cx="5029200" cy="2386905"/>
                    </a:xfrm>
                    <a:prstGeom prst="rect"/>
                  </pic:spPr>
                </pic:pic>
              </a:graphicData>
            </a:graphic>
          </wp:inline>
        </w:drawing>
      </w:r>
    </w:p>
    <w:p>
      <w:pPr>
        <w:spacing w:after="240"/>
        <w:jc w:val="center"/>
      </w:pPr>
      <w:r>
        <w:rPr>
          <w:rFonts w:ascii="Arial" w:hAnsi="Arial"/>
          <w:i/>
          <w:color w:val="6B7280"/>
          <w:sz w:val="20"/>
        </w:rPr>
        <w:t>Figura: Expediente del paciente actualizando sus signos vitales de forma directa</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CP-WS-01: Sincronización de Alertas Críticas por WebSockets</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al generarse una alerta crítica de salud en el backend (ej. predicción de crisis de nivel rojo), el dashboard actualice el badge de notificaciones en tiempo real sin recargar la página.</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Conexión WebSocket abierta entre el cliente y /api/v1/websocket/alerts.</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Abrir el dashboard de AsmaSync como médico.</w:t>
              <w:br/>
              <w:t>2. Desde el simulador, disparar una medición que registre valores fuera de rango (oximetría &lt; 85%).</w:t>
              <w:br/>
              <w:t>3. Observar la sección de notificaciones y la barra de navegación del médico.</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El backend propaga el evento de alerta por el canal WebSocket. El cliente procesa el mensaje de tipo risk_update e incrementa dinámicamente el contador del badge en el navbar del médico.</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badge de alertas críticas cambió a color rojo de forma animada e incrementó su valor sin refrescar el dashboard.</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6905"/>
            <wp:docPr id="6" name="Picture 6"/>
            <wp:cNvGraphicFramePr>
              <a:graphicFrameLocks noChangeAspect="1"/>
            </wp:cNvGraphicFramePr>
            <a:graphic>
              <a:graphicData uri="http://schemas.openxmlformats.org/drawingml/2006/picture">
                <pic:pic>
                  <pic:nvPicPr>
                    <pic:cNvPr id="0" name="evidence_patient_detail_red.png"/>
                    <pic:cNvPicPr/>
                  </pic:nvPicPr>
                  <pic:blipFill>
                    <a:blip r:embed="rId13"/>
                    <a:stretch>
                      <a:fillRect/>
                    </a:stretch>
                  </pic:blipFill>
                  <pic:spPr>
                    <a:xfrm>
                      <a:off x="0" y="0"/>
                      <a:ext cx="5029200" cy="2386905"/>
                    </a:xfrm>
                    <a:prstGeom prst="rect"/>
                  </pic:spPr>
                </pic:pic>
              </a:graphicData>
            </a:graphic>
          </wp:inline>
        </w:drawing>
      </w:r>
    </w:p>
    <w:p>
      <w:pPr>
        <w:spacing w:after="240"/>
        <w:jc w:val="center"/>
      </w:pPr>
      <w:r>
        <w:rPr>
          <w:rFonts w:ascii="Arial" w:hAnsi="Arial"/>
          <w:i/>
          <w:color w:val="6B7280"/>
          <w:sz w:val="20"/>
        </w:rPr>
        <w:t>Figura: Expediente clinico actualizando el semaforo de riesgo a rojo (Alerta Critica) en tiempo real</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CP-INT-01: Registro y Envío de Intervenciones Médicas</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Validar que el formulario de intervenciones clínicas en el dashboard médico envíe y registre con éxito una prescripción de rescate o plan especial en el backend.</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Tener un paciente crítico asignado.</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Seleccionar un paciente prioritario.</w:t>
              <w:br/>
              <w:t>2. Presionar el FAB de intervenciones y llenar los campos (tipo de intervención, observaciones clínicas y fecha de seguimiento).</w:t>
              <w:br/>
              <w:t>3. Hacer clic en 'Enviar Intervención'.</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abre un diálogo de confirmación, se despacha la petición al endpoint /api/v1/interventions y el historial del paciente se actualiza de inmediato.</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(validado mediante prueba unitaria InterventionFormComponent). El snackbar alerta la confirmación de envío.</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2388870"/>
            <wp:docPr id="7" name="Picture 7"/>
            <wp:cNvGraphicFramePr>
              <a:graphicFrameLocks noChangeAspect="1"/>
            </wp:cNvGraphicFramePr>
            <a:graphic>
              <a:graphicData uri="http://schemas.openxmlformats.org/drawingml/2006/picture">
                <pic:pic>
                  <pic:nvPicPr>
                    <pic:cNvPr id="0" name="evidence_intervention_form.png"/>
                    <pic:cNvPicPr/>
                  </pic:nvPicPr>
                  <pic:blipFill>
                    <a:blip r:embed="rId14"/>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Formulario de intervencion clinica completado por el medico</w:t>
      </w:r>
    </w:p>
    <w:p>
      <w:pPr>
        <w:spacing w:before="120" w:after="80"/>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evidence_intervention_success.png"/>
                    <pic:cNvPicPr/>
                  </pic:nvPicPr>
                  <pic:blipFill>
                    <a:blip r:embed="rId15"/>
                    <a:stretch>
                      <a:fillRect/>
                    </a:stretch>
                  </pic:blipFill>
                  <pic:spPr>
                    <a:xfrm>
                      <a:off x="0" y="0"/>
                      <a:ext cx="5029200" cy="2388870"/>
                    </a:xfrm>
                    <a:prstGeom prst="rect"/>
                  </pic:spPr>
                </pic:pic>
              </a:graphicData>
            </a:graphic>
          </wp:inline>
        </w:drawing>
      </w:r>
    </w:p>
    <w:p>
      <w:pPr>
        <w:spacing w:after="240"/>
        <w:jc w:val="center"/>
      </w:pPr>
      <w:r>
        <w:rPr>
          <w:rFonts w:ascii="Arial" w:hAnsi="Arial"/>
          <w:i/>
          <w:color w:val="6B7280"/>
          <w:sz w:val="20"/>
        </w:rPr>
        <w:t>Figura: Confirmacion de registro y envio exitoso de la intervencion clinica</w:t>
      </w:r>
    </w:p>
    <w:tbl>
      <w:tblPr>
        <w:tblW w:type="auto" w:w="0"/>
        <w:tblLayout w:type="fixed"/>
        <w:tblLook w:firstColumn="1" w:firstRow="1" w:lastColumn="0" w:lastRow="0" w:noHBand="0" w:noVBand="1" w:val="04A0"/>
      </w:tblPr>
      <w:tblGrid>
        <w:gridCol w:w="4320"/>
        <w:gridCol w:w="4320"/>
      </w:tblGrid>
      <w:tr>
        <w:tc>
          <w:tcPr>
            <w:tcW w:type="dxa" w:w="2592"/>
            <w:shd w:fill="E5E7EB"/>
          </w:tcPr>
          <w:p>
            <w:pPr>
              <w:spacing w:after="60"/>
            </w:pPr>
            <w:r>
              <w:rPr>
                <w:rFonts w:ascii="Arial" w:hAnsi="Arial"/>
                <w:b/>
                <w:sz w:val="21"/>
              </w:rPr>
              <w:t>ID y Título</w:t>
            </w:r>
          </w:p>
        </w:tc>
        <w:tc>
          <w:tcPr>
            <w:tcW w:type="dxa" w:w="6480"/>
          </w:tcPr>
          <w:p>
            <w:pPr>
              <w:spacing w:after="60"/>
            </w:pPr>
            <w:r>
              <w:rPr>
                <w:rFonts w:ascii="Arial" w:hAnsi="Arial"/>
                <w:sz w:val="21"/>
              </w:rPr>
              <w:t>CP-REP-01: Generación y Exportación de Reporte Clínico a PDF</w:t>
            </w:r>
          </w:p>
        </w:tc>
      </w:tr>
      <w:tr>
        <w:tc>
          <w:tcPr>
            <w:tcW w:type="dxa" w:w="2592"/>
            <w:shd w:fill="E5E7EB"/>
          </w:tcPr>
          <w:p>
            <w:pPr>
              <w:spacing w:after="60"/>
            </w:pPr>
            <w:r>
              <w:rPr>
                <w:rFonts w:ascii="Arial" w:hAnsi="Arial"/>
                <w:b/>
                <w:sz w:val="21"/>
              </w:rPr>
              <w:t>Descripción</w:t>
            </w:r>
          </w:p>
        </w:tc>
        <w:tc>
          <w:tcPr>
            <w:tcW w:type="dxa" w:w="6480"/>
          </w:tcPr>
          <w:p>
            <w:pPr>
              <w:spacing w:after="60"/>
            </w:pPr>
            <w:r>
              <w:rPr>
                <w:rFonts w:ascii="Arial" w:hAnsi="Arial"/>
                <w:sz w:val="21"/>
              </w:rPr>
              <w:t>Verificar que el módulo de reportes genere un reporte de paciente en formato PDF que sea descargable e incluya las gráficas de evolución clínica.</w:t>
            </w:r>
          </w:p>
        </w:tc>
      </w:tr>
      <w:tr>
        <w:tc>
          <w:tcPr>
            <w:tcW w:type="dxa" w:w="2592"/>
            <w:shd w:fill="E5E7EB"/>
          </w:tcPr>
          <w:p>
            <w:pPr>
              <w:spacing w:after="60"/>
            </w:pPr>
            <w:r>
              <w:rPr>
                <w:rFonts w:ascii="Arial" w:hAnsi="Arial"/>
                <w:b/>
                <w:sz w:val="21"/>
              </w:rPr>
              <w:t>Precondiciones</w:t>
            </w:r>
          </w:p>
        </w:tc>
        <w:tc>
          <w:tcPr>
            <w:tcW w:type="dxa" w:w="6480"/>
          </w:tcPr>
          <w:p>
            <w:pPr>
              <w:spacing w:after="60"/>
            </w:pPr>
            <w:r>
              <w:rPr>
                <w:rFonts w:ascii="Arial" w:hAnsi="Arial"/>
                <w:sz w:val="21"/>
              </w:rPr>
              <w:t>El paciente seleccionado debe tener al menos 7 días de registros de signos vitales (espirometrías y síntomas).</w:t>
            </w:r>
          </w:p>
        </w:tc>
      </w:tr>
      <w:tr>
        <w:tc>
          <w:tcPr>
            <w:tcW w:type="dxa" w:w="2592"/>
            <w:shd w:fill="E5E7EB"/>
          </w:tcPr>
          <w:p>
            <w:pPr>
              <w:spacing w:after="60"/>
            </w:pPr>
            <w:r>
              <w:rPr>
                <w:rFonts w:ascii="Arial" w:hAnsi="Arial"/>
                <w:b/>
                <w:sz w:val="21"/>
              </w:rPr>
              <w:t>Pasos a Ejecutar</w:t>
            </w:r>
          </w:p>
        </w:tc>
        <w:tc>
          <w:tcPr>
            <w:tcW w:type="dxa" w:w="6480"/>
          </w:tcPr>
          <w:p>
            <w:pPr>
              <w:spacing w:after="60"/>
            </w:pPr>
            <w:r>
              <w:rPr>
                <w:rFonts w:ascii="Arial" w:hAnsi="Arial"/>
                <w:sz w:val="21"/>
              </w:rPr>
              <w:t>1. Entrar al detalle del paciente clínico.</w:t>
              <w:br/>
              <w:t>2. Ir a 'Reportes' y presionar 'Generar Reporte Individual (PDF)'.</w:t>
            </w:r>
          </w:p>
        </w:tc>
      </w:tr>
      <w:tr>
        <w:tc>
          <w:tcPr>
            <w:tcW w:type="dxa" w:w="2592"/>
            <w:shd w:fill="E5E7EB"/>
          </w:tcPr>
          <w:p>
            <w:pPr>
              <w:spacing w:after="60"/>
            </w:pPr>
            <w:r>
              <w:rPr>
                <w:rFonts w:ascii="Arial" w:hAnsi="Arial"/>
                <w:b/>
                <w:sz w:val="21"/>
              </w:rPr>
              <w:t>Resultado Esperado</w:t>
            </w:r>
          </w:p>
        </w:tc>
        <w:tc>
          <w:tcPr>
            <w:tcW w:type="dxa" w:w="6480"/>
          </w:tcPr>
          <w:p>
            <w:pPr>
              <w:spacing w:after="60"/>
            </w:pPr>
            <w:r>
              <w:rPr>
                <w:rFonts w:ascii="Arial" w:hAnsi="Arial"/>
                <w:sz w:val="21"/>
              </w:rPr>
              <w:t>Se invoca la librería jsPDF y html2canvas para estructurar la información del historial y renderizar las gráficas de flujo espiratorio máximo (FEM). Se inicia la descarga automática del archivo con formato legible.</w:t>
            </w:r>
          </w:p>
        </w:tc>
      </w:tr>
      <w:tr>
        <w:tc>
          <w:tcPr>
            <w:tcW w:type="dxa" w:w="2592"/>
            <w:shd w:fill="E5E7EB"/>
          </w:tcPr>
          <w:p>
            <w:pPr>
              <w:spacing w:after="60"/>
            </w:pPr>
            <w:r>
              <w:rPr>
                <w:rFonts w:ascii="Arial" w:hAnsi="Arial"/>
                <w:b/>
                <w:sz w:val="21"/>
              </w:rPr>
              <w:t>Resultado Obtenido</w:t>
            </w:r>
          </w:p>
        </w:tc>
        <w:tc>
          <w:tcPr>
            <w:tcW w:type="dxa" w:w="6480"/>
          </w:tcPr>
          <w:p>
            <w:pPr>
              <w:spacing w:after="60"/>
            </w:pPr>
            <w:r>
              <w:rPr>
                <w:rFonts w:ascii="Arial" w:hAnsi="Arial"/>
                <w:sz w:val="21"/>
              </w:rPr>
              <w:t>Exitoso. El archivo PDF se descarga localmente sin errores en la estructura ni solapamientos de fuentes.</w:t>
            </w:r>
          </w:p>
        </w:tc>
      </w:tr>
      <w:tr>
        <w:tc>
          <w:tcPr>
            <w:tcW w:type="dxa" w:w="2592"/>
            <w:shd w:fill="E5E7EB"/>
          </w:tcPr>
          <w:p>
            <w:pPr>
              <w:spacing w:after="60"/>
            </w:pPr>
            <w:r>
              <w:rPr>
                <w:rFonts w:ascii="Arial" w:hAnsi="Arial"/>
                <w:b/>
                <w:sz w:val="21"/>
              </w:rPr>
              <w:t>Estado</w:t>
            </w:r>
          </w:p>
        </w:tc>
        <w:tc>
          <w:tcPr>
            <w:tcW w:type="dxa" w:w="6480"/>
          </w:tcPr>
          <w:p>
            <w:pPr>
              <w:spacing w:after="60"/>
            </w:pPr>
            <w:r>
              <w:rPr>
                <w:rFonts w:ascii="Arial" w:hAnsi="Arial"/>
                <w:b/>
                <w:color w:val="107C41"/>
                <w:sz w:val="21"/>
              </w:rPr>
              <w:t>Aprobado</w:t>
            </w:r>
          </w:p>
        </w:tc>
      </w:tr>
    </w:tbl>
    <w:p>
      <w:pPr>
        <w:spacing w:after="160"/>
      </w:pPr>
    </w:p>
    <w:p>
      <w:pPr>
        <w:spacing w:before="12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evidence_pdf_report.png"/>
                    <pic:cNvPicPr/>
                  </pic:nvPicPr>
                  <pic:blipFill>
                    <a:blip r:embed="rId16"/>
                    <a:stretch>
                      <a:fillRect/>
                    </a:stretch>
                  </pic:blipFill>
                  <pic:spPr>
                    <a:xfrm>
                      <a:off x="0" y="0"/>
                      <a:ext cx="5029200" cy="5029200"/>
                    </a:xfrm>
                    <a:prstGeom prst="rect"/>
                  </pic:spPr>
                </pic:pic>
              </a:graphicData>
            </a:graphic>
          </wp:inline>
        </w:drawing>
      </w:r>
    </w:p>
    <w:p>
      <w:pPr>
        <w:spacing w:after="240"/>
        <w:jc w:val="center"/>
      </w:pPr>
      <w:r>
        <w:rPr>
          <w:rFonts w:ascii="Arial" w:hAnsi="Arial"/>
          <w:i/>
          <w:color w:val="6B7280"/>
          <w:sz w:val="20"/>
        </w:rPr>
        <w:t>Figura: Reporte clinico individual generado y exportado exitosamente en PDF</w:t>
      </w:r>
    </w:p>
    <w:p>
      <w:pPr>
        <w:spacing w:before="240" w:after="80"/>
      </w:pPr>
      <w:r>
        <w:rPr>
          <w:rFonts w:ascii="Arial" w:hAnsi="Arial"/>
          <w:b/>
          <w:sz w:val="28"/>
        </w:rPr>
        <w:t>3. Reporte de Errores (Bugs)</w:t>
      </w:r>
    </w:p>
    <w:p>
      <w:pPr>
        <w:ind w:firstLine="720"/>
        <w:jc w:val="both"/>
      </w:pPr>
      <w:r>
        <w:rPr>
          <w:rFonts w:ascii="Arial" w:hAnsi="Arial"/>
          <w:sz w:val="24"/>
        </w:rPr>
        <w:t>Durante el ciclo de desarrollo del proyecto y la fase de integración de los microservicios, se detectaron los siguientes errores de software que debieron corregirse para cumplir los criterios de aceptación:</w:t>
      </w:r>
    </w:p>
    <w:p>
      <w:pPr>
        <w:spacing w:before="240" w:after="80"/>
      </w:pPr>
      <w:r>
        <w:rPr>
          <w:rFonts w:ascii="Arial" w:hAnsi="Arial"/>
          <w:b/>
          <w:sz w:val="24"/>
        </w:rPr>
        <w:t>Bug 1: Error 401 Unauthorized en Refrescos de Sesión (JWT Expirado)</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BUG-AUTH-01</w:t>
      </w:r>
    </w:p>
    <w:p>
      <w:pPr>
        <w:pStyle w:val="ListBullet"/>
        <w:jc w:val="both"/>
      </w:pPr>
      <w:r>
        <w:rPr>
          <w:rFonts w:ascii="Arial" w:hAnsi="Arial"/>
          <w:b/>
          <w:sz w:val="24"/>
        </w:rPr>
        <w:t>Gravedad</w:t>
      </w:r>
      <w:r>
        <w:rPr>
          <w:rFonts w:ascii="Arial" w:hAnsi="Arial"/>
          <w:b/>
          <w:sz w:val="24"/>
        </w:rPr>
        <w:t xml:space="preserve">: </w:t>
      </w:r>
      <w:r>
        <w:rPr>
          <w:rFonts w:ascii="Arial" w:hAnsi="Arial"/>
          <w:sz w:val="24"/>
        </w:rPr>
        <w:t>Alta (Bloquea el flujo continuo del usuario médico)</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Tras cumplirse 15 minutos de inactividad, cuando el token de Supabase Auth expira, cualquier petición realizada por el interceptor HTTP de Angular fallaba sistemáticamente con código HTTP 401 Unauthorized. El interceptor no capturaba el error para disparar la llamada asíncrona de renovación del token (refreshSession), forzando un logout prematuro del médico.</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modificó el RenderResilienceInterceptor para capturar específicamente el código HTTP 401. Al detectarse, el interceptor suspende temporalmente las peticiones concurrentes, ejecuta el método de refresco de Supabase en segundo plano, almacena el nuevo token JWT y reintenta las solicitudes fallidas de forma transparente al usuario.</w:t>
      </w:r>
    </w:p>
    <w:p>
      <w:pPr>
        <w:spacing w:before="240" w:after="80"/>
      </w:pPr>
      <w:r>
        <w:rPr>
          <w:rFonts w:ascii="Arial" w:hAnsi="Arial"/>
          <w:b/>
          <w:sz w:val="24"/>
        </w:rPr>
        <w:t>Bug 2: Fuga de Memoria por Desconexión Silenciosa de WebSocket de Alertas</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BUG-WS-02</w:t>
      </w:r>
    </w:p>
    <w:p>
      <w:pPr>
        <w:pStyle w:val="ListBullet"/>
        <w:jc w:val="both"/>
      </w:pPr>
      <w:r>
        <w:rPr>
          <w:rFonts w:ascii="Arial" w:hAnsi="Arial"/>
          <w:b/>
          <w:sz w:val="24"/>
        </w:rPr>
        <w:t>Gravedad</w:t>
      </w:r>
      <w:r>
        <w:rPr>
          <w:rFonts w:ascii="Arial" w:hAnsi="Arial"/>
          <w:b/>
          <w:sz w:val="24"/>
        </w:rPr>
        <w:t xml:space="preserve">: </w:t>
      </w:r>
      <w:r>
        <w:rPr>
          <w:rFonts w:ascii="Arial" w:hAnsi="Arial"/>
          <w:sz w:val="24"/>
        </w:rPr>
        <w:t>Media (Afecta el rendimiento clínico y la consistencia de datos)</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Si el servidor de FastAPI se reiniciaba o había un micro-corte de red, la conexión del canal WebSocket se cerraba silenciosamente. Sin embargo, el dashboard médico no limpiaba las suscripciones ni ejecutaba reintentos de reconexión (reconnect loop), provocando la pérdida de alertas en tiempo real y sobrecargando la memoria RAM del navegador por acumulación de listeners duplicados al reconectarse manualmente.</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implementó un mecanismo de latido o 'Heartbeat' bidireccional cada 30 segundos. Si el cliente detecta la ausencia del latido, limpia la instancia del socket destruyendo los event listeners y activa un bucle de reconexión exponencial con retroceso (exponential backoff) para volver a enlazarse con seguridad al restablecerse el servidor.</w:t>
      </w:r>
    </w:p>
    <w:p>
      <w:pPr>
        <w:spacing w:before="240" w:after="80"/>
      </w:pPr>
      <w:r>
        <w:rPr>
          <w:rFonts w:ascii="Arial" w:hAnsi="Arial"/>
          <w:b/>
          <w:sz w:val="24"/>
        </w:rPr>
        <w:t>Bug 3: Desbordamiento del Layout de Tabla de Pacientes en Pantallas Móviles</w:t>
      </w:r>
    </w:p>
    <w:p>
      <w:pPr>
        <w:pStyle w:val="ListBullet"/>
        <w:jc w:val="both"/>
      </w:pPr>
      <w:r>
        <w:rPr>
          <w:rFonts w:ascii="Arial" w:hAnsi="Arial"/>
          <w:b/>
          <w:sz w:val="24"/>
        </w:rPr>
        <w:t>ID del Bug</w:t>
      </w:r>
      <w:r>
        <w:rPr>
          <w:rFonts w:ascii="Arial" w:hAnsi="Arial"/>
          <w:b/>
          <w:sz w:val="24"/>
        </w:rPr>
        <w:t xml:space="preserve">: </w:t>
      </w:r>
      <w:r>
        <w:rPr>
          <w:rFonts w:ascii="Arial" w:hAnsi="Arial"/>
          <w:sz w:val="24"/>
        </w:rPr>
        <w:t>BUG-UI-03</w:t>
      </w:r>
    </w:p>
    <w:p>
      <w:pPr>
        <w:pStyle w:val="ListBullet"/>
        <w:jc w:val="both"/>
      </w:pPr>
      <w:r>
        <w:rPr>
          <w:rFonts w:ascii="Arial" w:hAnsi="Arial"/>
          <w:b/>
          <w:sz w:val="24"/>
        </w:rPr>
        <w:t>Gravedad</w:t>
      </w:r>
      <w:r>
        <w:rPr>
          <w:rFonts w:ascii="Arial" w:hAnsi="Arial"/>
          <w:b/>
          <w:sz w:val="24"/>
        </w:rPr>
        <w:t xml:space="preserve">: </w:t>
      </w:r>
      <w:r>
        <w:rPr>
          <w:rFonts w:ascii="Arial" w:hAnsi="Arial"/>
          <w:sz w:val="24"/>
        </w:rPr>
        <w:t>Baja (Afecta la usabilidad del portal médico en emergencias)</w:t>
      </w:r>
    </w:p>
    <w:p>
      <w:pPr>
        <w:pStyle w:val="ListBullet"/>
        <w:jc w:val="both"/>
      </w:pPr>
      <w:r>
        <w:rPr>
          <w:rFonts w:ascii="Arial" w:hAnsi="Arial"/>
          <w:b/>
          <w:sz w:val="24"/>
        </w:rPr>
        <w:t>Descripción del Comportamiento Incorrecto</w:t>
      </w:r>
      <w:r>
        <w:rPr>
          <w:rFonts w:ascii="Arial" w:hAnsi="Arial"/>
          <w:b/>
          <w:sz w:val="24"/>
        </w:rPr>
        <w:t xml:space="preserve">: </w:t>
      </w:r>
      <w:r>
        <w:rPr>
          <w:rFonts w:ascii="Arial" w:hAnsi="Arial"/>
          <w:sz w:val="24"/>
        </w:rPr>
        <w:t>Al visualizar el Dashboard desde dispositivos móviles (pantallas con resolución menor a 768px), las columnas correspondientes al 'Médico Asignado', 'Último Síntoma' y 'Acciones' de la tabla de Pacientes Prioritarios se encimaban una sobre otra, saliendo de la pantalla e impidiendo presionar el botón de 'Ver Detalle'.</w:t>
      </w:r>
    </w:p>
    <w:p>
      <w:pPr>
        <w:pStyle w:val="ListBullet"/>
        <w:jc w:val="both"/>
      </w:pPr>
      <w:r>
        <w:rPr>
          <w:rFonts w:ascii="Arial" w:hAnsi="Arial"/>
          <w:b/>
          <w:sz w:val="24"/>
        </w:rPr>
        <w:t>Acción Correctiva Implementada</w:t>
      </w:r>
      <w:r>
        <w:rPr>
          <w:rFonts w:ascii="Arial" w:hAnsi="Arial"/>
          <w:b/>
          <w:sz w:val="24"/>
        </w:rPr>
        <w:t xml:space="preserve">: </w:t>
      </w:r>
      <w:r>
        <w:rPr>
          <w:rFonts w:ascii="Arial" w:hAnsi="Arial"/>
          <w:sz w:val="24"/>
        </w:rPr>
        <w:t>Se reestructuró la cuadrícula de la tabla mediante directivas CSS de Tailwind y Flexbox adaptativas. En pantallas móviles, se ocultan las columnas secundarias no críticas y el botón de acción se transforma en un elemento flotante (FAB) o menú colapsable (Dropdown) permitiendo una correcta navegación.</w:t>
      </w:r>
    </w:p>
    <w:p>
      <w:pPr>
        <w:spacing w:before="240" w:after="80"/>
      </w:pPr>
      <w:r>
        <w:rPr>
          <w:rFonts w:ascii="Arial" w:hAnsi="Arial"/>
          <w:b/>
          <w:sz w:val="28"/>
        </w:rPr>
        <w:t>4. Reejecución de Pruebas</w:t>
      </w:r>
    </w:p>
    <w:p>
      <w:pPr>
        <w:ind w:firstLine="720"/>
        <w:jc w:val="both"/>
      </w:pPr>
      <w:r>
        <w:rPr>
          <w:rFonts w:ascii="Arial" w:hAnsi="Arial"/>
          <w:sz w:val="24"/>
        </w:rPr>
        <w:t>Tras corregir los bugs identificados en la sección anterior, se procedió a reejecutar la suite completa de pruebas de software, tanto automáticas como manuales, para verificar que no hubiese efectos colaterales indeseados.</w:t>
      </w:r>
    </w:p>
    <w:p>
      <w:pPr>
        <w:spacing w:before="240" w:after="80"/>
      </w:pPr>
      <w:r>
        <w:rPr>
          <w:rFonts w:ascii="Arial" w:hAnsi="Arial"/>
          <w:b/>
          <w:sz w:val="24"/>
        </w:rPr>
        <w:t>4.1 Evidencias y Resultados de la Reejecución</w:t>
      </w:r>
    </w:p>
    <w:p>
      <w:pPr>
        <w:pStyle w:val="ListBullet"/>
        <w:jc w:val="both"/>
      </w:pPr>
      <w:r>
        <w:rPr>
          <w:rFonts w:ascii="Arial" w:hAnsi="Arial"/>
          <w:b/>
          <w:sz w:val="24"/>
        </w:rPr>
        <w:t>Pruebas Automatizadas de Frontend (Angular 17 + Vitest)</w:t>
      </w:r>
      <w:r>
        <w:rPr>
          <w:rFonts w:ascii="Arial" w:hAnsi="Arial"/>
          <w:b/>
          <w:sz w:val="24"/>
        </w:rPr>
        <w:t xml:space="preserve">: </w:t>
      </w:r>
      <w:r>
        <w:rPr>
          <w:rFonts w:ascii="Arial" w:hAnsi="Arial"/>
          <w:sz w:val="24"/>
        </w:rPr>
        <w:t>Se ejecutó la suite completa de pruebas unitarias y de componentes. Los resultados del comando 'ng test --runner=vitest --watch=false' arrojaron 10 de 10 archivos de prueba aprobados (46 pruebas unitarias exitosas en total). Esto valida que la corrección de interceptores, modales de confirmación y tuberías de fecha no dañaron la lógica existente.</w:t>
      </w:r>
    </w:p>
    <w:p>
      <w:pPr>
        <w:pStyle w:val="ListBullet"/>
        <w:jc w:val="both"/>
      </w:pPr>
      <w:r>
        <w:rPr>
          <w:rFonts w:ascii="Arial" w:hAnsi="Arial"/>
          <w:b/>
          <w:sz w:val="24"/>
        </w:rPr>
        <w:t>Pruebas Automatizadas de Backend (Pytest)</w:t>
      </w:r>
      <w:r>
        <w:rPr>
          <w:rFonts w:ascii="Arial" w:hAnsi="Arial"/>
          <w:b/>
          <w:sz w:val="24"/>
        </w:rPr>
        <w:t xml:space="preserve">: </w:t>
      </w:r>
      <w:r>
        <w:rPr>
          <w:rFonts w:ascii="Arial" w:hAnsi="Arial"/>
          <w:sz w:val="24"/>
        </w:rPr>
        <w:t>La suite de verificación de modelos y firmas digitales de seguridad médica arrojó la validación exitosa de los mecanismos de cifrado y asignación hospitalaria (RBAC) con una tasa de aprobación del 100% en base local SQLite en memoria.</w:t>
      </w:r>
    </w:p>
    <w:p>
      <w:pPr>
        <w:pStyle w:val="ListBullet"/>
        <w:jc w:val="both"/>
      </w:pPr>
      <w:r>
        <w:rPr>
          <w:rFonts w:ascii="Arial" w:hAnsi="Arial"/>
          <w:b/>
          <w:sz w:val="24"/>
        </w:rPr>
        <w:t>Pruebas Manuales e Interacción Remota (Swagger &amp; DevTools)</w:t>
      </w:r>
      <w:r>
        <w:rPr>
          <w:rFonts w:ascii="Arial" w:hAnsi="Arial"/>
          <w:b/>
          <w:sz w:val="24"/>
        </w:rPr>
        <w:t xml:space="preserve">: </w:t>
      </w:r>
      <w:r>
        <w:rPr>
          <w:rFonts w:ascii="Arial" w:hAnsi="Arial"/>
          <w:sz w:val="24"/>
        </w:rPr>
        <w:t>La simulación de inactividad de sesión confirmó que el interceptor actualiza el token JWT de Supabase de manera asíncrona sin interrumpir la sesión activa del doctor. Las desconexiones simuladas en el canal WebSocket ahora se restauran en un lapso promedio de 1.8 segundos tras recuperar la señal.</w:t>
      </w:r>
    </w:p>
    <w:p>
      <w:pPr>
        <w:spacing w:before="240" w:after="80"/>
      </w:pPr>
      <w:r>
        <w:rPr>
          <w:rFonts w:ascii="Arial" w:hAnsi="Arial"/>
          <w:b/>
          <w:sz w:val="24"/>
        </w:rPr>
        <w:t>4.2 Resumen Estadístico Final</w:t>
      </w:r>
    </w:p>
    <w:tbl>
      <w:tblPr>
        <w:tblW w:type="auto" w:w="0"/>
        <w:tblLayout w:type="fixed"/>
        <w:tblLook w:firstColumn="1" w:firstRow="1" w:lastColumn="0" w:lastRow="0" w:noHBand="0" w:noVBand="1" w:val="04A0"/>
      </w:tblPr>
      <w:tblGrid>
        <w:gridCol w:w="1728"/>
        <w:gridCol w:w="1728"/>
        <w:gridCol w:w="1728"/>
        <w:gridCol w:w="1728"/>
        <w:gridCol w:w="1728"/>
      </w:tblGrid>
      <w:tr>
        <w:tc>
          <w:tcPr>
            <w:tcW w:type="dxa" w:w="2592"/>
            <w:shd w:fill="374151"/>
          </w:tcPr>
          <w:p>
            <w:pPr>
              <w:jc w:val="center"/>
            </w:pPr>
            <w:r>
              <w:rPr>
                <w:rFonts w:ascii="Arial" w:hAnsi="Arial"/>
                <w:b/>
                <w:color w:val="FFFFFF"/>
                <w:sz w:val="20"/>
              </w:rPr>
              <w:t>Categoría de Prueba</w:t>
            </w:r>
          </w:p>
        </w:tc>
        <w:tc>
          <w:tcPr>
            <w:tcW w:type="dxa" w:w="1584"/>
            <w:shd w:fill="374151"/>
          </w:tcPr>
          <w:p>
            <w:pPr>
              <w:jc w:val="center"/>
            </w:pPr>
            <w:r>
              <w:rPr>
                <w:rFonts w:ascii="Arial" w:hAnsi="Arial"/>
                <w:b/>
                <w:color w:val="FFFFFF"/>
                <w:sz w:val="20"/>
              </w:rPr>
              <w:t>Casos Diseñados</w:t>
            </w:r>
          </w:p>
        </w:tc>
        <w:tc>
          <w:tcPr>
            <w:tcW w:type="dxa" w:w="1584"/>
            <w:shd w:fill="374151"/>
          </w:tcPr>
          <w:p>
            <w:pPr>
              <w:jc w:val="center"/>
            </w:pPr>
            <w:r>
              <w:rPr>
                <w:rFonts w:ascii="Arial" w:hAnsi="Arial"/>
                <w:b/>
                <w:color w:val="FFFFFF"/>
                <w:sz w:val="20"/>
              </w:rPr>
              <w:t>Aprobados</w:t>
            </w:r>
          </w:p>
        </w:tc>
        <w:tc>
          <w:tcPr>
            <w:tcW w:type="dxa" w:w="1584"/>
            <w:shd w:fill="374151"/>
          </w:tcPr>
          <w:p>
            <w:pPr>
              <w:jc w:val="center"/>
            </w:pPr>
            <w:r>
              <w:rPr>
                <w:rFonts w:ascii="Arial" w:hAnsi="Arial"/>
                <w:b/>
                <w:color w:val="FFFFFF"/>
                <w:sz w:val="20"/>
              </w:rPr>
              <w:t>Fallidos</w:t>
            </w:r>
          </w:p>
        </w:tc>
        <w:tc>
          <w:tcPr>
            <w:tcW w:type="dxa" w:w="1728"/>
            <w:shd w:fill="374151"/>
          </w:tcPr>
          <w:p>
            <w:pPr>
              <w:jc w:val="center"/>
            </w:pPr>
            <w:r>
              <w:rPr>
                <w:rFonts w:ascii="Arial" w:hAnsi="Arial"/>
                <w:b/>
                <w:color w:val="FFFFFF"/>
                <w:sz w:val="20"/>
              </w:rPr>
              <w:t>Tasa de Aprobación</w:t>
            </w:r>
          </w:p>
        </w:tc>
      </w:tr>
      <w:tr>
        <w:tc>
          <w:tcPr>
            <w:tcW w:type="dxa" w:w="2592"/>
          </w:tcPr>
          <w:p>
            <w:r>
              <w:rPr>
                <w:rFonts w:ascii="Arial" w:hAnsi="Arial"/>
                <w:b/>
                <w:sz w:val="19"/>
              </w:rPr>
              <w:t>Autenticación (JWT)</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Registro Pacientes</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Ingesta de Medidas IoT</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WebSockets (Tiempo Real)</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Intervenciones Clínicas</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tcPr>
          <w:p>
            <w:r>
              <w:rPr>
                <w:rFonts w:ascii="Arial" w:hAnsi="Arial"/>
                <w:b/>
                <w:sz w:val="19"/>
              </w:rPr>
              <w:t>Exportación PDF</w:t>
            </w:r>
          </w:p>
        </w:tc>
        <w:tc>
          <w:tcPr>
            <w:tcW w:type="dxa" w:w="1584"/>
          </w:tcPr>
          <w:p>
            <w:pPr>
              <w:jc w:val="center"/>
            </w:pPr>
            <w:r>
              <w:rPr>
                <w:rFonts w:ascii="Arial" w:hAnsi="Arial"/>
                <w:sz w:val="19"/>
              </w:rPr>
              <w:t>1</w:t>
            </w:r>
          </w:p>
        </w:tc>
        <w:tc>
          <w:tcPr>
            <w:tcW w:type="dxa" w:w="1584"/>
          </w:tcPr>
          <w:p>
            <w:pPr>
              <w:jc w:val="center"/>
            </w:pPr>
            <w:r>
              <w:rPr>
                <w:rFonts w:ascii="Arial" w:hAnsi="Arial"/>
                <w:sz w:val="19"/>
              </w:rPr>
              <w:t>1</w:t>
            </w:r>
          </w:p>
        </w:tc>
        <w:tc>
          <w:tcPr>
            <w:tcW w:type="dxa" w:w="1584"/>
          </w:tcPr>
          <w:p>
            <w:pPr>
              <w:jc w:val="center"/>
            </w:pPr>
            <w:r>
              <w:rPr>
                <w:rFonts w:ascii="Arial" w:hAnsi="Arial"/>
                <w:sz w:val="19"/>
              </w:rPr>
              <w:t>0</w:t>
            </w:r>
          </w:p>
        </w:tc>
        <w:tc>
          <w:tcPr>
            <w:tcW w:type="dxa" w:w="1728"/>
          </w:tcPr>
          <w:p>
            <w:pPr>
              <w:jc w:val="center"/>
            </w:pPr>
            <w:r>
              <w:rPr>
                <w:rFonts w:ascii="Arial" w:hAnsi="Arial"/>
                <w:sz w:val="19"/>
              </w:rPr>
              <w:t>100%</w:t>
            </w:r>
          </w:p>
        </w:tc>
      </w:tr>
      <w:tr>
        <w:tc>
          <w:tcPr>
            <w:tcW w:type="dxa" w:w="2592"/>
            <w:shd w:fill="F3F4F6"/>
          </w:tcPr>
          <w:p>
            <w:r>
              <w:rPr>
                <w:rFonts w:ascii="Arial" w:hAnsi="Arial"/>
                <w:b/>
                <w:sz w:val="19"/>
              </w:rPr>
              <w:t>Total Global</w:t>
            </w:r>
          </w:p>
        </w:tc>
        <w:tc>
          <w:tcPr>
            <w:tcW w:type="dxa" w:w="1584"/>
            <w:shd w:fill="F3F4F6"/>
          </w:tcPr>
          <w:p>
            <w:pPr>
              <w:jc w:val="center"/>
            </w:pPr>
            <w:r>
              <w:rPr>
                <w:rFonts w:ascii="Arial" w:hAnsi="Arial"/>
                <w:b/>
                <w:sz w:val="19"/>
              </w:rPr>
              <w:t>6</w:t>
            </w:r>
          </w:p>
        </w:tc>
        <w:tc>
          <w:tcPr>
            <w:tcW w:type="dxa" w:w="1584"/>
            <w:shd w:fill="F3F4F6"/>
          </w:tcPr>
          <w:p>
            <w:pPr>
              <w:jc w:val="center"/>
            </w:pPr>
            <w:r>
              <w:rPr>
                <w:rFonts w:ascii="Arial" w:hAnsi="Arial"/>
                <w:b/>
                <w:sz w:val="19"/>
              </w:rPr>
              <w:t>6</w:t>
            </w:r>
          </w:p>
        </w:tc>
        <w:tc>
          <w:tcPr>
            <w:tcW w:type="dxa" w:w="1584"/>
            <w:shd w:fill="F3F4F6"/>
          </w:tcPr>
          <w:p>
            <w:pPr>
              <w:jc w:val="center"/>
            </w:pPr>
            <w:r>
              <w:rPr>
                <w:rFonts w:ascii="Arial" w:hAnsi="Arial"/>
                <w:b/>
                <w:sz w:val="19"/>
              </w:rPr>
              <w:t>0</w:t>
            </w:r>
          </w:p>
        </w:tc>
        <w:tc>
          <w:tcPr>
            <w:tcW w:type="dxa" w:w="1728"/>
            <w:shd w:fill="F3F4F6"/>
          </w:tcPr>
          <w:p>
            <w:pPr>
              <w:jc w:val="center"/>
            </w:pPr>
            <w:r>
              <w:rPr>
                <w:rFonts w:ascii="Arial" w:hAnsi="Arial"/>
                <w:b/>
                <w:sz w:val="19"/>
              </w:rPr>
              <w:t>100%</w:t>
            </w:r>
          </w:p>
        </w:tc>
      </w:tr>
    </w:tbl>
    <w:p>
      <w:pPr>
        <w:spacing w:after="200"/>
      </w:pPr>
    </w:p>
    <w:p>
      <w:pPr>
        <w:ind w:firstLine="720"/>
        <w:jc w:val="both"/>
      </w:pPr>
      <w:r>
        <w:rPr>
          <w:rFonts w:ascii="Arial" w:hAnsi="Arial"/>
          <w:sz w:val="24"/>
        </w:rPr>
        <w:t>Con este resultado de la reejecución de pruebas se concluye que el ecosistema AsmaSync cumple satisfactoriamente con los estándares de calidad de software requeridos para su despliegue y operación en entornos clínicos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