
<file path=[Content_Types].xml><?xml version="1.0" encoding="utf-8"?>
<Types xmlns="http://schemas.openxmlformats.org/package/2006/content-types">
  <Default ContentType="application/vnd.openxmlformats-officedocument.spreadsheetml.sheet" Extension="xlsx"/>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3.xml"/>
  <Override ContentType="application/vnd.ms-office.chartcolorstyle+xml" PartName="/word/charts/colors2.xml"/>
  <Override ContentType="application/vnd.ms-office.chartcolorstyle+xml" PartName="/word/charts/colors1.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numbering+xml" PartName="/word/numbering.xml"/>
  <Override ContentType="application/vnd.ms-office.chartstyle+xml" PartName="/word/charts/style1.xml"/>
  <Override ContentType="application/vnd.ms-office.chartstyle+xml" PartName="/word/charts/style3.xml"/>
  <Override ContentType="application/vnd.ms-office.chartstyle+xml" PartName="/word/charts/style2.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sz w:val="24"/>
          <w:szCs w:val="24"/>
        </w:rPr>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5611928" cy="7262495"/>
            <wp:effectExtent b="0" l="0" r="0" t="0"/>
            <wp:wrapSquare wrapText="bothSides" distB="0" distT="0" distL="114300" distR="114300"/>
            <wp:docPr id="199768250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1928" cy="726249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b w:val="1"/>
          <w:bCs w:val="1"/>
          <w:sz w:val="28"/>
          <w:szCs w:val="28"/>
          <w:rtl w:val="0"/>
        </w:rPr>
        <w:t xml:space="preserve">UNIVERSIDAD TECNOLÓGICA DEL CENTRO DE VERACRUZ</w:t>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b w:val="1"/>
          <w:bCs w:val="1"/>
          <w:sz w:val="28"/>
          <w:szCs w:val="28"/>
          <w:rtl w:val="0"/>
        </w:rPr>
        <w:t xml:space="preserve">INGENIERÍA EN GESTIÓN Y DESARROLLO DE SOFTWARE</w:t>
      </w:r>
    </w:p>
    <w:p w:rsidR="00000000" w:rsidDel="00000000" w:rsidP="00000000" w:rsidRDefault="00000000" w:rsidRPr="00000000" w14:paraId="00000008">
      <w:pPr>
        <w:jc w:val="center"/>
        <w:rPr>
          <w:sz w:val="28"/>
          <w:szCs w:val="28"/>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b w:val="1"/>
          <w:bCs w:val="1"/>
          <w:sz w:val="28"/>
          <w:szCs w:val="28"/>
          <w:rtl w:val="0"/>
        </w:rPr>
        <w:t xml:space="preserve">INTEGRANTES: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center"/>
        <w:rPr>
          <w:rFonts w:ascii="Montserrat" w:cs="Montserrat" w:eastAsia="Montserrat" w:hAnsi="Montserrat"/>
          <w:b w:val="0"/>
          <w:bCs w:val="0"/>
          <w:i w:val="0"/>
          <w:iCs w:val="0"/>
          <w:smallCaps w:val="0"/>
          <w:strike w:val="0"/>
          <w:color w:val="000000"/>
          <w:sz w:val="28"/>
          <w:szCs w:val="2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8"/>
          <w:szCs w:val="28"/>
          <w:u w:val="none"/>
          <w:shd w:fill="auto" w:val="clear"/>
          <w:vertAlign w:val="baseline"/>
          <w:rtl w:val="0"/>
        </w:rPr>
        <w:t xml:space="preserve">Cerecedo Florencia Eliezer Isaí</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center"/>
        <w:rPr>
          <w:rFonts w:ascii="Montserrat" w:cs="Montserrat" w:eastAsia="Montserrat" w:hAnsi="Montserrat"/>
          <w:b w:val="0"/>
          <w:bCs w:val="0"/>
          <w:i w:val="0"/>
          <w:iCs w:val="0"/>
          <w:smallCaps w:val="0"/>
          <w:strike w:val="0"/>
          <w:color w:val="000000"/>
          <w:sz w:val="28"/>
          <w:szCs w:val="2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8"/>
          <w:szCs w:val="28"/>
          <w:u w:val="none"/>
          <w:shd w:fill="auto" w:val="clear"/>
          <w:vertAlign w:val="baseline"/>
          <w:rtl w:val="0"/>
        </w:rPr>
        <w:t xml:space="preserve">Gónzalez Cuevas Juan Pablo</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center"/>
        <w:rPr>
          <w:rFonts w:ascii="Montserrat" w:cs="Montserrat" w:eastAsia="Montserrat" w:hAnsi="Montserrat"/>
          <w:b w:val="0"/>
          <w:bCs w:val="0"/>
          <w:i w:val="0"/>
          <w:iCs w:val="0"/>
          <w:smallCaps w:val="0"/>
          <w:strike w:val="0"/>
          <w:color w:val="000000"/>
          <w:sz w:val="28"/>
          <w:szCs w:val="2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8"/>
          <w:szCs w:val="28"/>
          <w:u w:val="none"/>
          <w:shd w:fill="auto" w:val="clear"/>
          <w:vertAlign w:val="baseline"/>
          <w:rtl w:val="0"/>
        </w:rPr>
        <w:t xml:space="preserve">Peña Ruiz Emmanuel</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Montserrat" w:cs="Montserrat" w:eastAsia="Montserrat" w:hAnsi="Montserrat"/>
          <w:b w:val="0"/>
          <w:bCs w:val="0"/>
          <w:i w:val="0"/>
          <w:iCs w:val="0"/>
          <w:smallCaps w:val="0"/>
          <w:strike w:val="0"/>
          <w:color w:val="000000"/>
          <w:sz w:val="28"/>
          <w:szCs w:val="2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8"/>
          <w:szCs w:val="28"/>
          <w:u w:val="none"/>
          <w:shd w:fill="auto" w:val="clear"/>
          <w:vertAlign w:val="baseline"/>
          <w:rtl w:val="0"/>
        </w:rPr>
        <w:t xml:space="preserve">Serrano Montaño Jocelyn</w:t>
      </w:r>
    </w:p>
    <w:p w:rsidR="00000000" w:rsidDel="00000000" w:rsidP="00000000" w:rsidRDefault="00000000" w:rsidRPr="00000000" w14:paraId="0000000F">
      <w:pPr>
        <w:jc w:val="center"/>
        <w:rPr>
          <w:sz w:val="28"/>
          <w:szCs w:val="28"/>
        </w:rPr>
      </w:pPr>
      <w:r w:rsidDel="00000000" w:rsidR="00000000" w:rsidRPr="00000000">
        <w:rPr>
          <w:sz w:val="28"/>
          <w:szCs w:val="28"/>
          <w:rtl w:val="0"/>
        </w:rPr>
        <w:t xml:space="preserve">.</w:t>
      </w:r>
    </w:p>
    <w:p w:rsidR="00000000" w:rsidDel="00000000" w:rsidP="00000000" w:rsidRDefault="00000000" w:rsidRPr="00000000" w14:paraId="00000010">
      <w:pPr>
        <w:jc w:val="center"/>
        <w:rPr>
          <w:sz w:val="28"/>
          <w:szCs w:val="28"/>
        </w:rPr>
      </w:pP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b w:val="1"/>
          <w:bCs w:val="1"/>
          <w:sz w:val="28"/>
          <w:szCs w:val="28"/>
          <w:rtl w:val="0"/>
        </w:rPr>
        <w:t xml:space="preserve">NOMBRE DEL PROYECTO</w:t>
      </w:r>
      <w:r w:rsidDel="00000000" w:rsidR="00000000" w:rsidRPr="00000000">
        <w:rPr>
          <w:sz w:val="28"/>
          <w:szCs w:val="28"/>
          <w:rtl w:val="0"/>
        </w:rPr>
        <w:t xml:space="preserve">:</w:t>
      </w:r>
    </w:p>
    <w:p w:rsidR="00000000" w:rsidDel="00000000" w:rsidP="00000000" w:rsidRDefault="00000000" w:rsidRPr="00000000" w14:paraId="00000012">
      <w:pPr>
        <w:jc w:val="center"/>
        <w:rPr>
          <w:sz w:val="28"/>
          <w:szCs w:val="28"/>
        </w:rPr>
      </w:pPr>
      <w:r w:rsidDel="00000000" w:rsidR="00000000" w:rsidRPr="00000000">
        <w:rPr>
          <w:sz w:val="28"/>
          <w:szCs w:val="28"/>
          <w:rtl w:val="0"/>
        </w:rPr>
        <w:t xml:space="preserve">AsmaSync – Sistema Inteligente de Monitoreo y Predicción de Crisis Asmáticas</w:t>
      </w:r>
    </w:p>
    <w:p w:rsidR="00000000" w:rsidDel="00000000" w:rsidP="00000000" w:rsidRDefault="00000000" w:rsidRPr="00000000" w14:paraId="00000013">
      <w:pPr>
        <w:jc w:val="center"/>
        <w:rPr>
          <w:sz w:val="28"/>
          <w:szCs w:val="28"/>
        </w:rPr>
      </w:pPr>
      <w:r w:rsidDel="00000000" w:rsidR="00000000" w:rsidRPr="00000000">
        <w:rPr>
          <w:rtl w:val="0"/>
        </w:rPr>
      </w:r>
    </w:p>
    <w:p w:rsidR="00000000" w:rsidDel="00000000" w:rsidP="00000000" w:rsidRDefault="00000000" w:rsidRPr="00000000" w14:paraId="00000014">
      <w:pPr>
        <w:jc w:val="center"/>
        <w:rPr>
          <w:sz w:val="28"/>
          <w:szCs w:val="28"/>
        </w:rPr>
      </w:pP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b w:val="1"/>
          <w:bCs w:val="1"/>
          <w:sz w:val="28"/>
          <w:szCs w:val="28"/>
          <w:rtl w:val="0"/>
        </w:rPr>
        <w:t xml:space="preserve">FECHA DE ELABORACIÓN</w:t>
      </w:r>
    </w:p>
    <w:p w:rsidR="00000000" w:rsidDel="00000000" w:rsidP="00000000" w:rsidRDefault="00000000" w:rsidRPr="00000000" w14:paraId="00000016">
      <w:pPr>
        <w:jc w:val="center"/>
        <w:rPr>
          <w:sz w:val="28"/>
          <w:szCs w:val="28"/>
        </w:rPr>
      </w:pPr>
      <w:r w:rsidDel="00000000" w:rsidR="00000000" w:rsidRPr="00000000">
        <w:rPr>
          <w:sz w:val="28"/>
          <w:szCs w:val="28"/>
          <w:rtl w:val="0"/>
        </w:rPr>
        <w:t xml:space="preserve">Febrero de 2026 </w:t>
      </w:r>
    </w:p>
    <w:p w:rsidR="00000000" w:rsidDel="00000000" w:rsidP="00000000" w:rsidRDefault="00000000" w:rsidRPr="00000000" w14:paraId="00000017">
      <w:pPr>
        <w:rPr>
          <w:sz w:val="32"/>
          <w:szCs w:val="32"/>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Montserrat" w:cs="Montserrat" w:eastAsia="Montserrat" w:hAnsi="Montserrat"/>
          <w:b w:val="1"/>
          <w:bCs w:val="1"/>
          <w:i w:val="0"/>
          <w:iCs w:val="0"/>
          <w:smallCaps w:val="0"/>
          <w:strike w:val="0"/>
          <w:color w:val="6c0000"/>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6c0000"/>
          <w:sz w:val="28"/>
          <w:szCs w:val="28"/>
          <w:u w:val="none"/>
          <w:shd w:fill="auto" w:val="clear"/>
          <w:vertAlign w:val="baseline"/>
          <w:rtl w:val="0"/>
        </w:rPr>
        <w:t xml:space="preserve">Contenido</w:t>
      </w:r>
    </w:p>
    <w:sdt>
      <w:sdtPr>
        <w:id w:val="1878770121"/>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vumwl20gjqv">
            <w:r w:rsidDel="00000000" w:rsidR="00000000" w:rsidRPr="00000000">
              <w:rPr>
                <w:rFonts w:ascii="Montserrat" w:cs="Montserrat" w:eastAsia="Montserrat" w:hAnsi="Montserrat"/>
                <w:b w:val="1"/>
                <w:bCs w:val="1"/>
                <w:i w:val="1"/>
                <w:iCs w:val="1"/>
                <w:smallCaps w:val="0"/>
                <w:strike w:val="0"/>
                <w:color w:val="000000"/>
                <w:sz w:val="24"/>
                <w:szCs w:val="24"/>
                <w:u w:val="none"/>
                <w:shd w:fill="auto" w:val="clear"/>
                <w:vertAlign w:val="baseline"/>
                <w:rtl w:val="0"/>
              </w:rPr>
              <w:t xml:space="preserve">Índice de figuras</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10yoivgl2e2">
            <w:r w:rsidDel="00000000" w:rsidR="00000000" w:rsidRPr="00000000">
              <w:rPr>
                <w:rFonts w:ascii="Montserrat" w:cs="Montserrat" w:eastAsia="Montserrat" w:hAnsi="Montserrat"/>
                <w:b w:val="1"/>
                <w:bCs w:val="1"/>
                <w:i w:val="1"/>
                <w:iCs w:val="1"/>
                <w:smallCaps w:val="0"/>
                <w:strike w:val="0"/>
                <w:color w:val="000000"/>
                <w:sz w:val="24"/>
                <w:szCs w:val="24"/>
                <w:u w:val="none"/>
                <w:shd w:fill="auto" w:val="clear"/>
                <w:vertAlign w:val="baseline"/>
                <w:rtl w:val="0"/>
              </w:rPr>
              <w:t xml:space="preserve">Índice de tablas</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7ekwwye43wl">
            <w:r w:rsidDel="00000000" w:rsidR="00000000" w:rsidRPr="00000000">
              <w:rPr>
                <w:rFonts w:ascii="Montserrat" w:cs="Montserrat" w:eastAsia="Montserrat" w:hAnsi="Montserrat"/>
                <w:b w:val="1"/>
                <w:bCs w:val="1"/>
                <w:i w:val="1"/>
                <w:iCs w:val="1"/>
                <w:smallCaps w:val="0"/>
                <w:strike w:val="0"/>
                <w:color w:val="000000"/>
                <w:sz w:val="24"/>
                <w:szCs w:val="24"/>
                <w:u w:val="none"/>
                <w:shd w:fill="auto" w:val="clear"/>
                <w:vertAlign w:val="baseline"/>
                <w:rtl w:val="0"/>
              </w:rPr>
              <w:t xml:space="preserve">I. Artículos de investigación y publicaciones</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lg1feljzfzp">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1.1 Introducción</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x3e73oewgm">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1.2 Despliegue de la metodología</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wk0tlvio9ud">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1.3 Conclusión</w:t>
              <w:tab/>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4tfk6v1sinl">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1.4 Referencias</w:t>
              <w:tab/>
              <w:t xml:space="preserve">10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75a0z66yr6s">
            <w:r w:rsidDel="00000000" w:rsidR="00000000" w:rsidRPr="00000000">
              <w:rPr>
                <w:rFonts w:ascii="Montserrat" w:cs="Montserrat" w:eastAsia="Montserrat" w:hAnsi="Montserrat"/>
                <w:b w:val="1"/>
                <w:bCs w:val="1"/>
                <w:i w:val="1"/>
                <w:iCs w:val="1"/>
                <w:smallCaps w:val="0"/>
                <w:strike w:val="0"/>
                <w:color w:val="000000"/>
                <w:sz w:val="24"/>
                <w:szCs w:val="24"/>
                <w:u w:val="none"/>
                <w:shd w:fill="auto" w:val="clear"/>
                <w:vertAlign w:val="baseline"/>
                <w:rtl w:val="0"/>
              </w:rPr>
              <w:t xml:space="preserve">II. Análisis de patentes</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70ye74ct5f0">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2.1 Patentes analizadas</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70j4pasbne0">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2.2 Despliegue de la metodología</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0bplce3cf5y">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2.3 Clasificación de las patentes</w:t>
              <w:tab/>
              <w:t xml:space="preserve">14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mo2u7sgvj1o">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2.4 Alcance de las patentes</w:t>
              <w:tab/>
              <w:t xml:space="preserve">15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t8my9qog0c5">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2.5 Conclusión</w:t>
              <w:tab/>
              <w:t xml:space="preserve">17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12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inwotzg8m7b">
            <w:r w:rsidDel="00000000" w:rsidR="00000000" w:rsidRPr="00000000">
              <w:rPr>
                <w:rFonts w:ascii="Montserrat" w:cs="Montserrat" w:eastAsia="Montserrat" w:hAnsi="Montserrat"/>
                <w:b w:val="1"/>
                <w:bCs w:val="1"/>
                <w:i w:val="0"/>
                <w:iCs w:val="0"/>
                <w:smallCaps w:val="0"/>
                <w:strike w:val="0"/>
                <w:color w:val="000000"/>
                <w:sz w:val="16"/>
                <w:szCs w:val="16"/>
                <w:u w:val="none"/>
                <w:shd w:fill="auto" w:val="clear"/>
                <w:vertAlign w:val="baseline"/>
                <w:rtl w:val="0"/>
              </w:rPr>
              <w:t xml:space="preserve">2.6 Referencias</w:t>
              <w:tab/>
              <w:t xml:space="preserve">18</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0" w:line="240" w:lineRule="auto"/>
        <w:rPr>
          <w:b w:val="1"/>
          <w:bCs w:val="1"/>
          <w:color w:val="6c0000"/>
          <w:sz w:val="32"/>
          <w:szCs w:val="32"/>
        </w:rPr>
      </w:pPr>
      <w:r w:rsidDel="00000000" w:rsidR="00000000" w:rsidRPr="00000000">
        <w:rPr>
          <w:rtl w:val="0"/>
        </w:rPr>
      </w:r>
    </w:p>
    <w:p w:rsidR="00000000" w:rsidDel="00000000" w:rsidP="00000000" w:rsidRDefault="00000000" w:rsidRPr="00000000" w14:paraId="0000002D">
      <w:pPr>
        <w:pStyle w:val="Heading1"/>
        <w:rPr/>
      </w:pPr>
      <w:bookmarkStart w:colFirst="0" w:colLast="0" w:name="_heading=h.2vumwl20gjqv" w:id="0"/>
      <w:bookmarkEnd w:id="0"/>
      <w:r w:rsidDel="00000000" w:rsidR="00000000" w:rsidRPr="00000000">
        <w:rPr>
          <w:rtl w:val="0"/>
        </w:rPr>
        <w:t xml:space="preserve">Índice de figuras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236549822"/>
        <w:docPartObj>
          <w:docPartGallery w:val="Table of Contents"/>
          <w:docPartUnique w:val="1"/>
        </w:docPartObj>
      </w:sdtPr>
      <w:sdtContent>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vdxb11dnmrlu">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Figura 1. Patentes por clasificación</w:t>
              <w:tab/>
              <w:t xml:space="preserve">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6fuw3g5x2qf">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Figura 2. Patentes por país de registro.</w:t>
              <w:tab/>
              <w:t xml:space="preserve">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bsxiadpd5e8">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Figura 3. Patentes por país de registro.</w:t>
              <w:tab/>
              <w:t xml:space="preserve">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spacing w:after="0" w:line="240" w:lineRule="auto"/>
        <w:rPr>
          <w:b w:val="1"/>
          <w:bCs w:val="1"/>
          <w:color w:val="6c0000"/>
          <w:sz w:val="32"/>
          <w:szCs w:val="32"/>
        </w:rPr>
      </w:pPr>
      <w:r w:rsidDel="00000000" w:rsidR="00000000" w:rsidRPr="00000000">
        <w:rPr>
          <w:rtl w:val="0"/>
        </w:rPr>
      </w:r>
    </w:p>
    <w:p w:rsidR="00000000" w:rsidDel="00000000" w:rsidP="00000000" w:rsidRDefault="00000000" w:rsidRPr="00000000" w14:paraId="00000036">
      <w:pPr>
        <w:pStyle w:val="Heading1"/>
        <w:rPr/>
      </w:pPr>
      <w:bookmarkStart w:colFirst="0" w:colLast="0" w:name="_heading=h.l10yoivgl2e2" w:id="1"/>
      <w:bookmarkEnd w:id="1"/>
      <w:r w:rsidDel="00000000" w:rsidR="00000000" w:rsidRPr="00000000">
        <w:rPr>
          <w:rtl w:val="0"/>
        </w:rPr>
        <w:t xml:space="preserve">Índice de tablas</w:t>
      </w:r>
    </w:p>
    <w:p w:rsidR="00000000" w:rsidDel="00000000" w:rsidP="00000000" w:rsidRDefault="00000000" w:rsidRPr="00000000" w14:paraId="00000037">
      <w:pPr>
        <w:rPr>
          <w:sz w:val="20"/>
          <w:szCs w:val="20"/>
        </w:rPr>
      </w:pPr>
      <w:r w:rsidDel="00000000" w:rsidR="00000000" w:rsidRPr="00000000">
        <w:rPr>
          <w:rtl w:val="0"/>
        </w:rPr>
      </w:r>
    </w:p>
    <w:sdt>
      <w:sdtPr>
        <w:id w:val="-318451065"/>
        <w:docPartObj>
          <w:docPartGallery w:val="Table of Contents"/>
          <w:docPartUnique w:val="1"/>
        </w:docPartObj>
      </w:sdtPr>
      <w:sdtContent>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hc4vuhcligv">
            <w:r w:rsidDel="00000000" w:rsidR="00000000" w:rsidRPr="00000000">
              <w:rPr>
                <w:rFonts w:ascii="Montserrat" w:cs="Montserrat" w:eastAsia="Montserrat" w:hAnsi="Montserrat"/>
                <w:b w:val="1"/>
                <w:bCs w:val="1"/>
                <w:i w:val="0"/>
                <w:iCs w:val="0"/>
                <w:smallCaps w:val="0"/>
                <w:strike w:val="0"/>
                <w:color w:val="000000"/>
                <w:sz w:val="20"/>
                <w:szCs w:val="20"/>
                <w:u w:val="none"/>
                <w:shd w:fill="auto" w:val="clear"/>
                <w:vertAlign w:val="baseline"/>
                <w:rtl w:val="0"/>
              </w:rPr>
              <w:t xml:space="preserve">Tabla 1.</w:t>
            </w:r>
          </w:hyperlink>
          <w:hyperlink w:anchor="_heading=h.xhc4vuhcligv">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 Despliegue de trabajos relacionados.</w:t>
              <w:tab/>
              <w:t xml:space="preserve">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9ik0r1bxr73">
            <w:r w:rsidDel="00000000" w:rsidR="00000000" w:rsidRPr="00000000">
              <w:rPr>
                <w:rFonts w:ascii="Montserrat" w:cs="Montserrat" w:eastAsia="Montserrat" w:hAnsi="Montserrat"/>
                <w:b w:val="1"/>
                <w:bCs w:val="1"/>
                <w:i w:val="0"/>
                <w:iCs w:val="0"/>
                <w:smallCaps w:val="0"/>
                <w:strike w:val="0"/>
                <w:color w:val="000000"/>
                <w:sz w:val="20"/>
                <w:szCs w:val="20"/>
                <w:u w:val="none"/>
                <w:shd w:fill="auto" w:val="clear"/>
                <w:vertAlign w:val="baseline"/>
                <w:rtl w:val="0"/>
              </w:rPr>
              <w:t xml:space="preserve">Tabla 2.</w:t>
            </w:r>
          </w:hyperlink>
          <w:hyperlink w:anchor="_heading=h.a9ik0r1bxr73">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 Despliegue de patentes.</w:t>
              <w:tab/>
              <w:t xml:space="preserve">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9z14py4us42">
            <w:r w:rsidDel="00000000" w:rsidR="00000000" w:rsidRPr="00000000">
              <w:rPr>
                <w:rFonts w:ascii="Montserrat" w:cs="Montserrat" w:eastAsia="Montserrat" w:hAnsi="Montserrat"/>
                <w:b w:val="1"/>
                <w:bCs w:val="1"/>
                <w:i w:val="0"/>
                <w:iCs w:val="0"/>
                <w:smallCaps w:val="0"/>
                <w:strike w:val="0"/>
                <w:color w:val="000000"/>
                <w:sz w:val="20"/>
                <w:szCs w:val="20"/>
                <w:u w:val="none"/>
                <w:shd w:fill="auto" w:val="clear"/>
                <w:vertAlign w:val="baseline"/>
                <w:rtl w:val="0"/>
              </w:rPr>
              <w:t xml:space="preserve">Tabla  3.</w:t>
            </w:r>
          </w:hyperlink>
          <w:hyperlink w:anchor="_heading=h.j9z14py4us42">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 Análisis de las patentes por clasificación.</w:t>
              <w:tab/>
              <w:t xml:space="preserve">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e3yhk27yux0">
            <w:r w:rsidDel="00000000" w:rsidR="00000000" w:rsidRPr="00000000">
              <w:rPr>
                <w:rFonts w:ascii="Montserrat" w:cs="Montserrat" w:eastAsia="Montserrat" w:hAnsi="Montserrat"/>
                <w:b w:val="1"/>
                <w:bCs w:val="1"/>
                <w:i w:val="0"/>
                <w:iCs w:val="0"/>
                <w:smallCaps w:val="0"/>
                <w:strike w:val="0"/>
                <w:color w:val="000000"/>
                <w:sz w:val="20"/>
                <w:szCs w:val="20"/>
                <w:u w:val="none"/>
                <w:shd w:fill="auto" w:val="clear"/>
                <w:vertAlign w:val="baseline"/>
                <w:rtl w:val="0"/>
              </w:rPr>
              <w:t xml:space="preserve">Tabla  4.</w:t>
            </w:r>
          </w:hyperlink>
          <w:hyperlink w:anchor="_heading=h.2e3yhk27yux0">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 Análisis de las patentes por clasificación.</w:t>
              <w:tab/>
              <w:t xml:space="preserve">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901urczgxxh">
            <w:r w:rsidDel="00000000" w:rsidR="00000000" w:rsidRPr="00000000">
              <w:rPr>
                <w:rFonts w:ascii="Montserrat" w:cs="Montserrat" w:eastAsia="Montserrat" w:hAnsi="Montserrat"/>
                <w:b w:val="1"/>
                <w:bCs w:val="1"/>
                <w:i w:val="0"/>
                <w:iCs w:val="0"/>
                <w:smallCaps w:val="0"/>
                <w:strike w:val="0"/>
                <w:color w:val="000000"/>
                <w:sz w:val="20"/>
                <w:szCs w:val="20"/>
                <w:u w:val="none"/>
                <w:shd w:fill="auto" w:val="clear"/>
                <w:vertAlign w:val="baseline"/>
                <w:rtl w:val="0"/>
              </w:rPr>
              <w:t xml:space="preserve">Tabla  5.</w:t>
            </w:r>
          </w:hyperlink>
          <w:hyperlink w:anchor="_heading=h.2901urczgxxh">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 Análisis de las patentes por estatus.</w:t>
              <w:tab/>
              <w:t xml:space="preserve">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spacing w:after="0" w:line="240" w:lineRule="auto"/>
        <w:rPr>
          <w:b w:val="1"/>
          <w:bCs w:val="1"/>
          <w:color w:val="6c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r>
    </w:p>
    <w:p w:rsidR="00000000" w:rsidDel="00000000" w:rsidP="00000000" w:rsidRDefault="00000000" w:rsidRPr="00000000" w14:paraId="00000040">
      <w:pPr>
        <w:pStyle w:val="Heading1"/>
        <w:rPr/>
      </w:pPr>
      <w:bookmarkStart w:colFirst="0" w:colLast="0" w:name="_heading=h.s7ekwwye43wl" w:id="2"/>
      <w:bookmarkEnd w:id="2"/>
      <w:r w:rsidDel="00000000" w:rsidR="00000000" w:rsidRPr="00000000">
        <w:rPr>
          <w:rtl w:val="0"/>
        </w:rPr>
        <w:t xml:space="preserve">I. Artículos de investigación y publicaciones</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pStyle w:val="Heading2"/>
        <w:rPr/>
      </w:pPr>
      <w:bookmarkStart w:colFirst="0" w:colLast="0" w:name="_heading=h.dlg1feljzfzp" w:id="3"/>
      <w:bookmarkEnd w:id="3"/>
      <w:r w:rsidDel="00000000" w:rsidR="00000000" w:rsidRPr="00000000">
        <w:rPr>
          <w:rtl w:val="0"/>
        </w:rPr>
        <w:t xml:space="preserve">1.1 Introducción</w:t>
      </w:r>
    </w:p>
    <w:p w:rsidR="00000000" w:rsidDel="00000000" w:rsidP="00000000" w:rsidRDefault="00000000" w:rsidRPr="00000000" w14:paraId="00000043">
      <w:pPr>
        <w:jc w:val="both"/>
        <w:rPr>
          <w:sz w:val="20"/>
          <w:szCs w:val="20"/>
        </w:rPr>
      </w:pPr>
      <w:r w:rsidDel="00000000" w:rsidR="00000000" w:rsidRPr="00000000">
        <w:rPr>
          <w:rtl w:val="0"/>
        </w:rPr>
      </w:r>
    </w:p>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El asma es una enfermedad respiratoria crónica caracterizada por inflamación y estrechamiento de las vías respiratorias, afectando a millones de personas a nivel mundial. En México, representa una causa importante de consultas médicas, hospitalizaciones y ausentismo escolar y laboral.</w:t>
      </w:r>
    </w:p>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Diversos estudios científicos recientes (2014–2025) han demostrado que la combinación de monitoreo continuo, dispositivos IoT médicos y algoritmos de Machine Learning permite predecir exacerbaciones asmáticas con niveles de precisión superiores al 80% en métricas AUC-ROC.</w:t>
      </w:r>
    </w:p>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En este contexto, el presente documento formula el concepto tecnológico de AsmaSync, un sistema inteligente multiplataforma que integra sensores médicos Bluetooth, una aplicación móvil, un backend seguro y un modelo predictivo basado en XGBoost para anticipar crisis asmáticas en un periodo de 24 horas.</w:t>
      </w:r>
    </w:p>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Este documento corresponde al nivel TRL2, donde se define formalmente el concepto tecnológico, su arquitectura y los principios científicos que lo sustentan.</w:t>
      </w:r>
    </w:p>
    <w:p w:rsidR="00000000" w:rsidDel="00000000" w:rsidP="00000000" w:rsidRDefault="00000000" w:rsidRPr="00000000" w14:paraId="00000048">
      <w:pPr>
        <w:jc w:val="both"/>
        <w:rPr>
          <w:sz w:val="20"/>
          <w:szCs w:val="20"/>
        </w:rPr>
      </w:pPr>
      <w:r w:rsidDel="00000000" w:rsidR="00000000" w:rsidRPr="00000000">
        <w:rPr>
          <w:rtl w:val="0"/>
        </w:rPr>
      </w:r>
    </w:p>
    <w:p w:rsidR="00000000" w:rsidDel="00000000" w:rsidP="00000000" w:rsidRDefault="00000000" w:rsidRPr="00000000" w14:paraId="00000049">
      <w:pPr>
        <w:pStyle w:val="Heading2"/>
        <w:rPr/>
      </w:pPr>
      <w:bookmarkStart w:colFirst="0" w:colLast="0" w:name="_heading=h.ix3e73oewgm" w:id="4"/>
      <w:bookmarkEnd w:id="4"/>
      <w:r w:rsidDel="00000000" w:rsidR="00000000" w:rsidRPr="00000000">
        <w:rPr>
          <w:rtl w:val="0"/>
        </w:rPr>
        <w:t xml:space="preserve">1.2 Despliegue de la metodología</w:t>
      </w:r>
    </w:p>
    <w:p w:rsidR="00000000" w:rsidDel="00000000" w:rsidP="00000000" w:rsidRDefault="00000000" w:rsidRPr="00000000" w14:paraId="0000004A">
      <w:pPr>
        <w:jc w:val="both"/>
        <w:rPr>
          <w:sz w:val="20"/>
          <w:szCs w:val="20"/>
        </w:rPr>
      </w:pPr>
      <w:r w:rsidDel="00000000" w:rsidR="00000000" w:rsidRPr="00000000">
        <w:rPr>
          <w:rtl w:val="0"/>
        </w:rPr>
      </w:r>
    </w:p>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La revisión bibliográfica se realizó de octubre de 2025 a febrero de 2026 en bases de datos como ScienceDirect, IEEE Xplore, PubMed, Google Scholar, entre otras, con filtros de publicación entre 2014-2025, en inglés y español, y con acceso a texto completo.</w:t>
      </w:r>
    </w:p>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La selección siguió la metodología PRISMA 2020: de 200 registros iniciales se eliminaron 9 duplicados, dejando 191. Tras revisar títulos y resúmenes se descartaron 150 por irrelevancia; de los 41 restantes, 4 no pudieron recuperarse. Los 37 evaluados a texto completo se redujeron en 7 más por carecer de descripción tecnológica, componente de monitoreo o datos clínicos relevantes. El resultado final fue 30 estudios incluidos, priorizando ensayos clínicos controlados, modelos de machine learning validados externamente y arquitecturas técnicas documentadas.</w:t>
      </w:r>
    </w:p>
    <w:p w:rsidR="00000000" w:rsidDel="00000000" w:rsidP="00000000" w:rsidRDefault="00000000" w:rsidRPr="00000000" w14:paraId="0000004D">
      <w:pPr>
        <w:jc w:val="both"/>
        <w:rPr>
          <w:sz w:val="20"/>
          <w:szCs w:val="20"/>
        </w:rPr>
      </w:pPr>
      <w:r w:rsidDel="00000000" w:rsidR="00000000" w:rsidRPr="00000000">
        <w:rPr>
          <w:rtl w:val="0"/>
        </w:rPr>
      </w:r>
    </w:p>
    <w:p w:rsidR="00000000" w:rsidDel="00000000" w:rsidP="00000000" w:rsidRDefault="00000000" w:rsidRPr="00000000" w14:paraId="0000004E">
      <w:pPr>
        <w:jc w:val="both"/>
        <w:rPr>
          <w:sz w:val="20"/>
          <w:szCs w:val="20"/>
        </w:rPr>
      </w:pPr>
      <w:r w:rsidDel="00000000" w:rsidR="00000000" w:rsidRPr="00000000">
        <w:rPr>
          <w:rtl w:val="0"/>
        </w:rPr>
      </w:r>
    </w:p>
    <w:p w:rsidR="00000000" w:rsidDel="00000000" w:rsidP="00000000" w:rsidRDefault="00000000" w:rsidRPr="00000000" w14:paraId="0000004F">
      <w:pPr>
        <w:jc w:val="both"/>
        <w:rPr>
          <w:sz w:val="20"/>
          <w:szCs w:val="20"/>
        </w:rPr>
      </w:pPr>
      <w:r w:rsidDel="00000000" w:rsidR="00000000" w:rsidRPr="00000000">
        <w:rPr>
          <w:rtl w:val="0"/>
        </w:rPr>
      </w:r>
    </w:p>
    <w:p w:rsidR="00000000" w:rsidDel="00000000" w:rsidP="00000000" w:rsidRDefault="00000000" w:rsidRPr="00000000" w14:paraId="00000050">
      <w:pPr>
        <w:jc w:val="both"/>
        <w:rPr>
          <w:sz w:val="20"/>
          <w:szCs w:val="20"/>
        </w:rPr>
      </w:pPr>
      <w:r w:rsidDel="00000000" w:rsidR="00000000" w:rsidRPr="00000000">
        <w:rPr>
          <w:rtl w:val="0"/>
        </w:rPr>
      </w:r>
    </w:p>
    <w:p w:rsidR="00000000" w:rsidDel="00000000" w:rsidP="00000000" w:rsidRDefault="00000000" w:rsidRPr="00000000" w14:paraId="00000051">
      <w:pPr>
        <w:jc w:val="both"/>
        <w:rPr>
          <w:sz w:val="20"/>
          <w:szCs w:val="20"/>
        </w:rPr>
      </w:pPr>
      <w:r w:rsidDel="00000000" w:rsidR="00000000" w:rsidRPr="00000000">
        <w:rPr>
          <w:rtl w:val="0"/>
        </w:rPr>
      </w:r>
    </w:p>
    <w:p w:rsidR="00000000" w:rsidDel="00000000" w:rsidP="00000000" w:rsidRDefault="00000000" w:rsidRPr="00000000" w14:paraId="00000052">
      <w:pPr>
        <w:jc w:val="both"/>
        <w:rPr>
          <w:sz w:val="20"/>
          <w:szCs w:val="20"/>
        </w:rPr>
      </w:pPr>
      <w:r w:rsidDel="00000000" w:rsidR="00000000" w:rsidRPr="00000000">
        <w:rPr>
          <w:rtl w:val="0"/>
        </w:rPr>
      </w:r>
    </w:p>
    <w:p w:rsidR="00000000" w:rsidDel="00000000" w:rsidP="00000000" w:rsidRDefault="00000000" w:rsidRPr="00000000" w14:paraId="00000053">
      <w:pPr>
        <w:jc w:val="both"/>
        <w:rPr>
          <w:sz w:val="20"/>
          <w:szCs w:val="20"/>
        </w:rPr>
      </w:pPr>
      <w:r w:rsidDel="00000000" w:rsidR="00000000" w:rsidRPr="00000000">
        <w:rPr>
          <w:rtl w:val="0"/>
        </w:rPr>
      </w:r>
    </w:p>
    <w:p w:rsidR="00000000" w:rsidDel="00000000" w:rsidP="00000000" w:rsidRDefault="00000000" w:rsidRPr="00000000" w14:paraId="00000054">
      <w:pPr>
        <w:spacing w:after="100" w:lineRule="auto"/>
        <w:jc w:val="center"/>
        <w:rPr>
          <w:sz w:val="20"/>
          <w:szCs w:val="20"/>
        </w:rPr>
      </w:pPr>
      <w:bookmarkStart w:colFirst="0" w:colLast="0" w:name="_heading=h.xhc4vuhcligv" w:id="5"/>
      <w:bookmarkEnd w:id="5"/>
      <w:r w:rsidDel="00000000" w:rsidR="00000000" w:rsidRPr="00000000">
        <w:rPr>
          <w:b w:val="1"/>
          <w:bCs w:val="1"/>
          <w:sz w:val="20"/>
          <w:szCs w:val="20"/>
          <w:rtl w:val="0"/>
        </w:rPr>
        <w:t xml:space="preserve">Tabla 1.</w:t>
      </w:r>
      <w:r w:rsidDel="00000000" w:rsidR="00000000" w:rsidRPr="00000000">
        <w:rPr>
          <w:sz w:val="20"/>
          <w:szCs w:val="20"/>
          <w:rtl w:val="0"/>
        </w:rPr>
        <w:t xml:space="preserve"> Despliegue de trabajos relacionados. Los de más alto impacto en la justificación del proyecto a elaborar. Para mejor visualización, esta tabla la pueden colocar en horizontal en las hojas correspondientes.</w:t>
      </w:r>
    </w:p>
    <w:tbl>
      <w:tblPr>
        <w:tblStyle w:val="Table1"/>
        <w:tblpPr w:leftFromText="180" w:rightFromText="180" w:topFromText="0" w:bottomFromText="0" w:vertAnchor="text" w:horzAnchor="text" w:tblpX="-743" w:tblpY="247"/>
        <w:tblW w:w="11218.999999999998" w:type="dxa"/>
        <w:jc w:val="left"/>
        <w:tblInd w:w="-108.0" w:type="dxa"/>
        <w:tblBorders>
          <w:top w:color="a8d08d" w:space="0" w:sz="4" w:val="single"/>
          <w:left w:color="a8d08d" w:space="0" w:sz="4" w:val="single"/>
          <w:bottom w:color="a8d08d" w:space="0" w:sz="4" w:val="single"/>
          <w:right w:color="a8d08d" w:space="0" w:sz="4" w:val="single"/>
          <w:insideH w:color="a8d08d" w:space="0" w:sz="4" w:val="single"/>
        </w:tblBorders>
        <w:tblLayout w:type="fixed"/>
        <w:tblLook w:val="04A0"/>
      </w:tblPr>
      <w:tblGrid>
        <w:gridCol w:w="1183"/>
        <w:gridCol w:w="1203"/>
        <w:gridCol w:w="1691"/>
        <w:gridCol w:w="1701"/>
        <w:gridCol w:w="1375"/>
        <w:gridCol w:w="2815"/>
        <w:gridCol w:w="1251"/>
        <w:tblGridChange w:id="0">
          <w:tblGrid>
            <w:gridCol w:w="1183"/>
            <w:gridCol w:w="1203"/>
            <w:gridCol w:w="1691"/>
            <w:gridCol w:w="1701"/>
            <w:gridCol w:w="1375"/>
            <w:gridCol w:w="2815"/>
            <w:gridCol w:w="1251"/>
          </w:tblGrid>
        </w:tblGridChange>
      </w:tblGrid>
      <w:tr>
        <w:trPr>
          <w:cantSplit w:val="0"/>
          <w:tblHeader w:val="0"/>
        </w:trPr>
        <w:tc>
          <w:tcPr>
            <w:vAlign w:val="center"/>
          </w:tcPr>
          <w:p w:rsidR="00000000" w:rsidDel="00000000" w:rsidP="00000000" w:rsidRDefault="00000000" w:rsidRPr="00000000" w14:paraId="00000055">
            <w:pPr>
              <w:jc w:val="center"/>
              <w:rPr>
                <w:highlight w:val="yellow"/>
              </w:rPr>
            </w:pPr>
            <w:r w:rsidDel="00000000" w:rsidR="00000000" w:rsidRPr="00000000">
              <w:rPr>
                <w:rtl w:val="0"/>
              </w:rPr>
              <w:t xml:space="preserve">Autores</w:t>
            </w:r>
            <w:r w:rsidDel="00000000" w:rsidR="00000000" w:rsidRPr="00000000">
              <w:rPr>
                <w:rtl w:val="0"/>
              </w:rPr>
            </w:r>
          </w:p>
        </w:tc>
        <w:tc>
          <w:tcPr>
            <w:vAlign w:val="center"/>
          </w:tcPr>
          <w:p w:rsidR="00000000" w:rsidDel="00000000" w:rsidP="00000000" w:rsidRDefault="00000000" w:rsidRPr="00000000" w14:paraId="00000056">
            <w:pPr>
              <w:jc w:val="center"/>
              <w:rPr/>
            </w:pPr>
            <w:r w:rsidDel="00000000" w:rsidR="00000000" w:rsidRPr="00000000">
              <w:rPr>
                <w:rtl w:val="0"/>
              </w:rPr>
              <w:t xml:space="preserve">Título del trabajo</w:t>
            </w:r>
          </w:p>
        </w:tc>
        <w:tc>
          <w:tcPr>
            <w:vAlign w:val="center"/>
          </w:tcPr>
          <w:p w:rsidR="00000000" w:rsidDel="00000000" w:rsidP="00000000" w:rsidRDefault="00000000" w:rsidRPr="00000000" w14:paraId="00000057">
            <w:pPr>
              <w:jc w:val="center"/>
              <w:rPr/>
            </w:pPr>
            <w:r w:rsidDel="00000000" w:rsidR="00000000" w:rsidRPr="00000000">
              <w:rPr>
                <w:rtl w:val="0"/>
              </w:rPr>
              <w:t xml:space="preserve">Problemática</w:t>
            </w:r>
          </w:p>
        </w:tc>
        <w:tc>
          <w:tcPr>
            <w:vAlign w:val="center"/>
          </w:tcPr>
          <w:p w:rsidR="00000000" w:rsidDel="00000000" w:rsidP="00000000" w:rsidRDefault="00000000" w:rsidRPr="00000000" w14:paraId="00000058">
            <w:pPr>
              <w:jc w:val="center"/>
              <w:rPr/>
            </w:pPr>
            <w:r w:rsidDel="00000000" w:rsidR="00000000" w:rsidRPr="00000000">
              <w:rPr>
                <w:rtl w:val="0"/>
              </w:rPr>
              <w:t xml:space="preserve">Propuesta de solución</w:t>
            </w:r>
          </w:p>
        </w:tc>
        <w:tc>
          <w:tcPr>
            <w:vAlign w:val="center"/>
          </w:tcPr>
          <w:p w:rsidR="00000000" w:rsidDel="00000000" w:rsidP="00000000" w:rsidRDefault="00000000" w:rsidRPr="00000000" w14:paraId="00000059">
            <w:pPr>
              <w:jc w:val="center"/>
              <w:rPr/>
            </w:pPr>
            <w:r w:rsidDel="00000000" w:rsidR="00000000" w:rsidRPr="00000000">
              <w:rPr>
                <w:rtl w:val="0"/>
              </w:rPr>
              <w:t xml:space="preserve">Resultados</w:t>
            </w:r>
          </w:p>
        </w:tc>
        <w:tc>
          <w:tcPr>
            <w:vAlign w:val="center"/>
          </w:tcPr>
          <w:p w:rsidR="00000000" w:rsidDel="00000000" w:rsidP="00000000" w:rsidRDefault="00000000" w:rsidRPr="00000000" w14:paraId="0000005A">
            <w:pPr>
              <w:jc w:val="center"/>
              <w:rPr/>
            </w:pPr>
            <w:r w:rsidDel="00000000" w:rsidR="00000000" w:rsidRPr="00000000">
              <w:rPr>
                <w:rtl w:val="0"/>
              </w:rPr>
              <w:t xml:space="preserve">Métodos/Técnicas/Metodologías</w:t>
            </w:r>
          </w:p>
        </w:tc>
        <w:tc>
          <w:tcPr>
            <w:vAlign w:val="center"/>
          </w:tcPr>
          <w:p w:rsidR="00000000" w:rsidDel="00000000" w:rsidP="00000000" w:rsidRDefault="00000000" w:rsidRPr="00000000" w14:paraId="0000005B">
            <w:pPr>
              <w:jc w:val="center"/>
              <w:rPr/>
            </w:pPr>
            <w:r w:rsidDel="00000000" w:rsidR="00000000" w:rsidRPr="00000000">
              <w:rPr>
                <w:rtl w:val="0"/>
              </w:rPr>
              <w:t xml:space="preserve">Tecnología</w:t>
            </w:r>
          </w:p>
          <w:p w:rsidR="00000000" w:rsidDel="00000000" w:rsidP="00000000" w:rsidRDefault="00000000" w:rsidRPr="00000000" w14:paraId="0000005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Mosnaim, G.S.; Pappalardo, A.A.; Resnick, S.E.; Codispoti, C.D.; Naclerio, R.M.; Bender, B.G.</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Efectividad de un sistema de inhalador digital (CONNECT1) para mejorar la adherencia al tratamiento controlador en pacientes asmáticos adultos</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Los pacientes asmáticos presentan baja adherencia a los medicamentos de control (&lt; 50%), lo que genera exacerbaciones frecuentes, hospitalizaciones evitables y deterioro de la calidad de vida. Las herramientas tradicionales (diarios en papel, consultas periódicas) no ofrecen seguimiento en tiempo real.</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Se diseñó el sistema CONNECT1, que integra un inhalador digital inteligente con sensor electrónico adherido al dispositivo, una aplicación móvil para pacientes y un portal web para proveedores de salud. El sistema registra automáticamente el uso del inhalador y ofrece recordatorios y retroalimentación en tiempo real.</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Se reportó un incremento del 12% en adherencia absoluta comparado con el grupo control. Los pacientes que usaron el sistema reportaron mayor satisfacción. Área de oportunidad: se requiere integración con datos ambientales y algoritmos predictivos para anticipar crisis antes de que ocurran.</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Ensayo clínico controlado aleatorizado (ECA), análisis de adherencia con sensor electrónico de dosis, cuestionario de control de asma (ACQ-6), análisis estadístico descriptivo e inferencial.</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Sensor electrónico adherido a inhalador (Propeller Health), aplicación móvil iOS/Android, portal web para proveedores, API de integración.</w:t>
            </w:r>
          </w:p>
        </w:tc>
      </w:tr>
      <w:tr>
        <w:trPr>
          <w:cantSplit w:val="0"/>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Tsang, K.C.H.; Pinnock, H.; Wilson, A.M.; Shaneyfelt, T.</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Aplicación de algoritmos de aprendizaje automático para la gestión del asma con mHealth: una revisión clínica</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Las aplicaciones móviles para asma existentes actúan principalmente como diarios digitales pasivos sin análisis predictivo, lo que impide la toma de decisiones preventivas. La falta de integración de ML en herramientas mHealth genera una brecha entre las necesidades clínicas y las soluciones disponibles.</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Revisión sistemática y meta-análisis de estudios que aplican algoritmos de ML (Random Forest, SVM, Redes Neuronales, XGBoost) en aplicaciones mHealth para asma. Se identificaron las variables clínicas más relevantes y las métricas de rendimiento de los modelos.</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Los algoritmos ML alcanzan AUC-ROC de 0.80-0.96 para predicción de exacerbaciones. XGBoost y LSTM mostraron mejor rendimiento. Área de oportunidad: solo el 18% de los estudios realizó validación externa, y ninguno adoptó guías TRIPOD para reporte transparente.</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Revisión sistemática, meta-análisis, evaluación de calidad metodológica (QUADAS-2), análisis de curvas ROC, síntesis narrativa.</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Python (scikit-learn, TensorFlow, XGBoost), R, Logistic Regression, Random Forest, SVM, LSTM, XGBoost.</w:t>
            </w:r>
          </w:p>
        </w:tc>
      </w:tr>
      <w:tr>
        <w:trPr>
          <w:cantSplit w:val="0"/>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Turcatel, G.; Torres-Vanegas, J.; Patel, S.; Coyle, M.; Ferreira, J.</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Predicción de exacerbaciones asmáticas utilizando modelos de aprendizaje automático</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Las exacerbaciones asmáticas son frecuentemente impredecibles con las herramientas clínicas tradicionales. El seguimiento intermitente en consultas médicas no permite detectar el deterioro gradual de la función pulmonar ni los patrones individuales de riesgo.</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Desarrollo y validación de un modelo predictivo basado en XGBoost que integra variables clínicas longitudinales (PEF, síntomas, uso de SABA) y datos ambientales (PM2.5, temperatura) para predecir crisis en 24-72 horas. Se utilizaron valores SHAP para interpretabilidad clínica.</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El modelo XGBoost alcanzó AUC-ROC de 0.964, sensibilidad del 88% y especificidad del 91%. Los valores SHAP identificaron que el historial de crisis previas, frecuencia de uso de SABA y PEF ratio son las variables más predictivas. Área de oportunidad: validación prospectiva en poblaciones diversas.</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Desarrollo de modelo ML supervisado, ingeniería de características (feature engineering), validación cruzada k-fold (k=10), análisis SHAP, optimización de hiperparámetros (Grid Search), evaluación con métricas AUC-ROC, sensibilidad, especificidad y F1-Score.</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Python 3.9, XGBoost 1.7, scikit-learn 1.2, SHAP 0.41, pandas, numpy, matplotlib.</w:t>
            </w:r>
          </w:p>
        </w:tc>
      </w:tr>
      <w:tr>
        <w:trPr>
          <w:cantSplit w:val="0"/>
          <w:tblHeader w:val="0"/>
        </w:trPr>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Li, B.; Chen, Y.; Wang, M.; Zhang, H.; Liu, X.</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Un sensor IoT vestible de aldehídos para investigación y gestión del asma pediátrica</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Los niños asmáticos están expuestos a aldehídos (formaldehído, acetaldehído) en ambientes interiores sin que los sistemas actuales puedan monitorear estos compuestos en tiempo real. La exposición no detectada a estos irritantes desencadena crisis que se atribuyen erróneamente a otras causas.</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Diseño y validación de un sensor IoT portátil de aldehídos integrado con conectividad Bluetooth para transmitir datos en tiempo real a una aplicación móvil. El dispositivo detecta concentraciones de 30ppb a 10ppm con batería de 7 días de autonomía.</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El sensor demostró precisión del 94% en condiciones de laboratorio y 91% en ambientes reales. La integración con la app permitió identificar zonas de alto riesgo en el hogar. Área de oportunidad: integración con datos clínicos para correlacionar exposición ambiental con síntomas.</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Diseño de hardware electrónico, pruebas de calibración, estudio observacional de campo, análisis de correlación entre niveles de aldehídos y síntomas reportados.</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Sensor electroquímico de aldehídos, microcontrolador ARM Cortex-M0+, Bluetooth 4.0 BLE, iOS/Android app, React Native</w:t>
            </w:r>
          </w:p>
        </w:tc>
      </w:tr>
      <w:tr>
        <w:trPr>
          <w:cantSplit w:val="0"/>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Kim, D.; Park, J.; Lee, S.; Choi, Y.; Ahn, K.</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Predicción de ataques de asma: efectos de las concentraciones de PM en interiores sobre las tasas de flujo espiratorio máximo</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Las concentraciones de material particulado (PM2.5 y PM10) en espacios interiores son ignoradas en los modelos predictivos de asma, a pesar de que representan la principal fuente de exposición. Los modelos que solo consideran PM exterior tienen menor precisión predictiva.</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Integración de sensores de PM interior (SDS011) con medidores de PEF digitales en un sistema IoT conectado a modelos de regresión y Random Forest para predecir deterioro del flujo espiratorio. Se correlacionaron mediciones interiores con exteriores y síntomas clínicos.</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La incorporación de PM interior mejoró la precisión del modelo en 61% comparado con datos exteriores únicamente. RMSE mejoró de 2.42 a 1.36 L/min. Los modelos con PM interior+exterior alcanzaron R²=0.87. Área de oportunidad: integración con datos de pronóstico climático.</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Diseño observacional prospectivo, sensores IoT de PM interior/exterior, regresión lineal múltiple, Random Forest, validación cruzada, análisis de correlación de Pearson.</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Sensor SDS011 (PM2.5/PM10), peak flow meter digital, Raspberry Pi 3B+, Python (scikit-learn, pandas), MySQL, API OpenWeatherMap.</w:t>
            </w:r>
          </w:p>
        </w:tc>
      </w:tr>
      <w:tr>
        <w:trPr>
          <w:cantSplit w:val="0"/>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Morrison, D.; Wyke, S.; Agur, K.; Cameron, E.J.; Devereux, G.; Findlay, F.M.; Sheikh, A.</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Intervenciones digitales de autogestión del asma: revisión sistemática</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La mayoría de las intervenciones digitales para asma carecen de evaluación rigurosa de efectividad clínica. Existe heterogeneidad en las funcionalidades, poblaciones y métricas de outcome, lo que impide comparaciones robustas entre sistemas.</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Revisión sistemática de 22 estudios de intervenciones digitales de autogestión del asma que incluyó apps móviles, portales web, sistemas de tele-monitoreo y plataformas de telemedicina. Se evaluaron mejoras en control del asma, adherencia y hospitalizations.</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Las intervenciones digitales mejoraron el control del asma (ACT +2.1 puntos promedio) y la adherencia (+23% en apps con recordatorios). Las apps que incluían retroalimentación personalizada y comunicación con profesionales de salud mostraron mayor impacto. Área de oportunidad: desarrollo de sistemas con capacidad predictiva e integración de enfermería.</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Revisión sistemática (PRISMA), síntesis narrativa, evaluación de riesgo de sesgo (Cochrane), meta-análisis de subgrupos.</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Portales web, aplicaciones móviles iOS/Android, sistemas de mensajería SMS, plataformas de videoconferencia.</w:t>
            </w:r>
          </w:p>
        </w:tc>
      </w:tr>
      <w:tr>
        <w:trPr>
          <w:cantSplit w:val="0"/>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He, Z.; Tong, L.; Sharma, G.; Luo, X.; Lu, Y.</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Diseño y evaluación de PEAK-mAAP: una aplicación mHealth personalizada para el automonitoreo del asma en adolescentes</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Los adolescentes con asma presentan baja adherencia a planes de autogestión por falta de herramientas digitales adaptadas a su contexto y motivaciones. Las apps genéricas para adultos no consideran las necesidades específicas de este grupo etario.</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Desarrollo de PEAK-mAAP, aplicación diseñada con adolescentes mediante metodología de co-diseño. Incluye registro de síntomas gamificado, recordatorios personalizables, semáforo de riesgo simplificado, plan de acción digital y métricas de FEM mediante integración con oxímetro Bluetooth.</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Puntuación de usabilidad (SUS): 83/100. Engagement promedio: 4.2 sesiones/semana. Control del asma mejoró en 78% de participantes. Área de oportunidad: integración de ML para predicción proactiva y módulo para padres/cuidadores.</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Co-diseño participativo con adolescentes (Design Thinking), prototipado ágil, evaluación de usabilidad (SUS y think-aloud), estudio piloto de 8 semanas.</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React Native, Node.js, MongoDB, Firebase (notificaciones), Bluetooth BLE (oxímetro MAX30100), REST APIs.</w:t>
            </w:r>
          </w:p>
        </w:tc>
      </w:tr>
      <w:tr>
        <w:trPr>
          <w:cantSplit w:val="0"/>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Kaplan, A.; Price, D.; Jones, R.C.M.; Halpin, D.M.G</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El papel emergente de la salud digital en el manejo del asma</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Los sistemas de salud enfrentan el desafío de brindar atención continua y personalizada a pacientes asmáticos crónicos con recursos limitados. La atención episódica en consultas médicas es insuficiente para el monitoreo continuo que requiere la enfermedad.</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Marco conceptual para integración de tecnologías digitales en el manejo del asma: inhaladores inteligentes, plataformas de telemedicina, algoritmos de ML y dashboards para profesionales de salud. Se propone una arquitectura de sistema en capas que conecta pacientes, enfermería y médicos.</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Los sistemas integrados (sensores + app + panel clínico) redujeron hospitalizaciones en 20-40% en estudios piloto. La telemedicina muestra resultados comparables a la atención presencial para manejo de asma estable. Área de oportunidad: validación en entornos de bajos recursos y países en desarrollo.</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Revisión narrativa de literatura, análisis de casos de uso, framework de implementación de tecnologías digitales en salud.</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Propeller Health (inhalador digital), Apple Health/Google Fit APIs, plataformas de videoconsulta, dashboards con Chart.js/D3.js.</w:t>
            </w:r>
          </w:p>
        </w:tc>
      </w:tr>
      <w:tr>
        <w:trPr>
          <w:cantSplit w:val="0"/>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Xiong, S.; Peng, Y.; Yue, Y.; Hu, M.; Tang, H.; Li, W.</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Enfoques de aprendizaje automático para la predicción personalizada temprana de exacerbaciones asmáticas: revisión sistemática y meta-análisis</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Los modelos predictivos de exacerbaciones asmáticas presentan alta heterogeneidad en metodología, variables de entrada y definición de outcomes, lo que dificulta la comparación y la traslación clínica. El desbalanceo de clases (días sin crisis &gt;&gt; días con crisis) no se aborda adecuadamente en la mayoría de estudios.</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Meta-análisis de estudios de ML para predicción de exacerbaciones asmáticas. Se evaluaron métricas AUC agrupadas, se identificaron las variables predictoras más consistentes y se analizó el impacto del desbalanceo de clases en el rendimiento de los modelos.</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AUC agrupada: 0.80 (IC 95%: 0.76-0.84). XGBoost y LightGBM superan a modelos clásicos. El desbalanceo de clases afecta negativamente la sensibilidad cuando no se maneja. Área de oportunidad: adopción de guías TRIPOD, validación prospectiva y datasets abiertos para reproducibilidad.</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Meta-análisis de 23 estudios (PRISMA), análisis de heterogeneidad (I²), curvas SROC, evaluación de sesgo de publicación (funnel plot).</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R (metafor, pROC), Python (scikit-learn, XGBoost, LightGBM, imbalanced-learn para SMOTE).</w:t>
            </w:r>
          </w:p>
        </w:tc>
      </w:tr>
      <w:tr>
        <w:trPr>
          <w:cantSplit w:val="0"/>
          <w:tblHeader w:val="0"/>
        </w:trPr>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van den Berg, L.J.; Hekking, P.P.W.; Flokstra-de Blok, B.M.J.; Hashimoto, S.</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Seguimiento del uso de agonistas beta-2 de acción corta mediante una aplicación móvil: estudio de cohorte en pacientes con asma</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El uso excesivo de agonistas beta-2 de acción corta (SABA) es un indicador de asma no controlada y predictor de exacerbaciones, pero su monitoreo en tiempo real es difícil con métodos tradicionales. Los pacientes no siempre reportan con precisión la frecuencia de uso de SABA.</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Aplicación móvil con sensor Bluetooth adherido al inhalador SABA que registra automáticamente cada uso y lo transmite a un backend para análisis longitudinal. El sistema genera alertas cuando el patrón de uso supera umbrales personalizados.</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Reducción del 50% en uso semanal de SABA a los 6 meses. El tracking digital mostró mayor precisión que el autorregistro (concordancia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κ</w:t>
            </w: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=0.72 vs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κ</w:t>
            </w: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=0.41). Área de oportunidad: integración con predicción ML y panel de enfermería para intervención proactiva.</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Estudio de cohorte prospectivo (n=373), análisis de supervivencia, regresión de Cox, análisis de concordancia kappa, t-test pareado.</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Sensor electrónico Propeller Health (BLE), aplicación iOS/Android nativa, backend Node.js, PostgreSQL, Twilio (SMS alerts).</w:t>
            </w:r>
          </w:p>
        </w:tc>
      </w:tr>
    </w:tbl>
    <w:p w:rsidR="00000000" w:rsidDel="00000000" w:rsidP="00000000" w:rsidRDefault="00000000" w:rsidRPr="00000000" w14:paraId="000000A3">
      <w:pPr>
        <w:pStyle w:val="Heading2"/>
        <w:rPr/>
      </w:pPr>
      <w:bookmarkStart w:colFirst="0" w:colLast="0" w:name="_heading=h.9wk0tlvio9ud" w:id="6"/>
      <w:bookmarkEnd w:id="6"/>
      <w:r w:rsidDel="00000000" w:rsidR="00000000" w:rsidRPr="00000000">
        <w:rPr>
          <w:rtl w:val="0"/>
        </w:rPr>
        <w:t xml:space="preserve">1.3 Conclusión</w:t>
      </w:r>
    </w:p>
    <w:p w:rsidR="00000000" w:rsidDel="00000000" w:rsidP="00000000" w:rsidRDefault="00000000" w:rsidRPr="00000000" w14:paraId="000000A4">
      <w:pPr>
        <w:jc w:val="both"/>
        <w:rPr>
          <w:sz w:val="20"/>
          <w:szCs w:val="20"/>
        </w:rPr>
      </w:pPr>
      <w:r w:rsidDel="00000000" w:rsidR="00000000" w:rsidRPr="00000000">
        <w:rPr>
          <w:rtl w:val="0"/>
        </w:rPr>
      </w:r>
    </w:p>
    <w:p w:rsidR="00000000" w:rsidDel="00000000" w:rsidP="00000000" w:rsidRDefault="00000000" w:rsidRPr="00000000" w14:paraId="000000A5">
      <w:pPr>
        <w:jc w:val="both"/>
        <w:rPr>
          <w:sz w:val="20"/>
          <w:szCs w:val="20"/>
        </w:rPr>
      </w:pPr>
      <w:r w:rsidDel="00000000" w:rsidR="00000000" w:rsidRPr="00000000">
        <w:rPr>
          <w:sz w:val="20"/>
          <w:szCs w:val="20"/>
          <w:rtl w:val="0"/>
        </w:rPr>
        <w:t xml:space="preserve">El análisis de</w:t>
      </w:r>
      <w:r w:rsidDel="00000000" w:rsidR="00000000" w:rsidRPr="00000000">
        <w:rPr>
          <w:sz w:val="20"/>
          <w:szCs w:val="20"/>
          <w:highlight w:val="yellow"/>
          <w:rtl w:val="0"/>
        </w:rPr>
        <w:t xml:space="preserve"> los 10 artículos de mayor impacto seleccionados de la revisión sistemática de 200 trabajos public</w:t>
      </w:r>
      <w:r w:rsidDel="00000000" w:rsidR="00000000" w:rsidRPr="00000000">
        <w:rPr>
          <w:sz w:val="20"/>
          <w:szCs w:val="20"/>
          <w:rtl w:val="0"/>
        </w:rPr>
        <w:t xml:space="preserve">ados entre 2014 y 2025 permite establecer con solidez los fundamentos tecnológicos y científicos del sistema AsmaSync. En primer lugar, queda demostrado que el algoritmo XGBoost representa la opción óptima para la predicción de exacerbaciones asmáticas, con valores AUC-ROC de hasta 0.964 y sensibilidades superiores al 88%, superando consistentemente a modelos alternativos como Random Forest, SVM y Logistic Regression. La incorporación de valores SHAP para la interpretabilidad de las predicciones resulta esencial para generar confianza clínica en el sistema.</w:t>
      </w:r>
    </w:p>
    <w:p w:rsidR="00000000" w:rsidDel="00000000" w:rsidP="00000000" w:rsidRDefault="00000000" w:rsidRPr="00000000" w14:paraId="000000A6">
      <w:pPr>
        <w:jc w:val="both"/>
        <w:rPr>
          <w:sz w:val="20"/>
          <w:szCs w:val="20"/>
        </w:rPr>
      </w:pPr>
      <w:r w:rsidDel="00000000" w:rsidR="00000000" w:rsidRPr="00000000">
        <w:rPr>
          <w:sz w:val="20"/>
          <w:szCs w:val="20"/>
          <w:rtl w:val="0"/>
        </w:rPr>
        <w:t xml:space="preserve">En segundo lugar, la revisión evidencia que los sistemas de mayor impacto clínico son aquellos que integran múltiples fuentes de datos: variables fisiológicas (PEF, SpO₂, síntomas reportados), datos de comportamiento (uso de SABA, adherencia) y factores ambientales (PM2.5, temperatura, humedad). Esta integración, respaldada por los trabajos de Kim et al. y Li et al., justifica la inclusión de APIs de calidad del aire en la arquitectura de AsmaSync.</w:t>
      </w:r>
    </w:p>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Finalmente, los trabajos de Morrison et al. y Pinnock et al. demuestran que la participación activa del personal de enfermería en sistemas digitales de monitoreo reduce hospitalizaciones en hasta un 30% y mejora la adherencia terapéutica en un 25%, validando el componente diferenciador de AsmaSync: el panel de control dedicado para enfermería. Las áreas de oportunidad identificadas, como la baja tasa de validación externa de modelos ML (18%) y la alta deserción en estudios digitales (63-88% a los 6 meses), representan retos específicos que AsmaSync abordará mediante estrategias de gamificación, personalización de alertas y seguimiento activo de enfermería.</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pStyle w:val="Heading2"/>
        <w:rPr/>
      </w:pPr>
      <w:bookmarkStart w:colFirst="0" w:colLast="0" w:name="_heading=h.84tfk6v1sinl" w:id="7"/>
      <w:bookmarkEnd w:id="7"/>
      <w:r w:rsidDel="00000000" w:rsidR="00000000" w:rsidRPr="00000000">
        <w:rPr>
          <w:rtl w:val="0"/>
        </w:rPr>
        <w:t xml:space="preserve">1.4 Referencias</w:t>
      </w:r>
    </w:p>
    <w:p w:rsidR="00000000" w:rsidDel="00000000" w:rsidP="00000000" w:rsidRDefault="00000000" w:rsidRPr="00000000" w14:paraId="000000AB">
      <w:pPr>
        <w:jc w:val="both"/>
        <w:rPr>
          <w:sz w:val="20"/>
          <w:szCs w:val="20"/>
        </w:rPr>
      </w:pPr>
      <w:r w:rsidDel="00000000" w:rsidR="00000000" w:rsidRPr="00000000">
        <w:rPr>
          <w:rtl w:val="0"/>
        </w:rPr>
      </w:r>
    </w:p>
    <w:p w:rsidR="00000000" w:rsidDel="00000000" w:rsidP="00000000" w:rsidRDefault="00000000" w:rsidRPr="00000000" w14:paraId="000000AC">
      <w:pPr>
        <w:rPr>
          <w:sz w:val="20"/>
          <w:szCs w:val="20"/>
        </w:rPr>
      </w:pPr>
      <w:r w:rsidDel="00000000" w:rsidR="00000000" w:rsidRPr="00000000">
        <w:rPr>
          <w:sz w:val="20"/>
          <w:szCs w:val="20"/>
          <w:rtl w:val="0"/>
        </w:rPr>
        <w:t xml:space="preserve">[1] J. Finkelstein e I. C. Jeong, "Machine learning approaches to personalize early prediction of asthma exacerbations," Ann. N. Y. Acad. Sci., vol. 1387, no. 1, pp. 153-165, 2017.</w:t>
      </w:r>
    </w:p>
    <w:p w:rsidR="00000000" w:rsidDel="00000000" w:rsidP="00000000" w:rsidRDefault="00000000" w:rsidRPr="00000000" w14:paraId="000000AD">
      <w:pPr>
        <w:rPr>
          <w:sz w:val="20"/>
          <w:szCs w:val="20"/>
        </w:rPr>
      </w:pPr>
      <w:r w:rsidDel="00000000" w:rsidR="00000000" w:rsidRPr="00000000">
        <w:rPr>
          <w:sz w:val="20"/>
          <w:szCs w:val="20"/>
          <w:rtl w:val="0"/>
        </w:rPr>
        <w:t xml:space="preserve">[2] Z. He, L. Tong, G. Sharma, X. Luo y. Lu, "Design and evaluation of PEAK-mAAP: a personalized mHealth app for asthma self-monitoring in adolescents," J. Am. Med. Inform. Assoc., vol. 32, no. 4, pp. 789-801, 2025.</w:t>
      </w:r>
    </w:p>
    <w:p w:rsidR="00000000" w:rsidDel="00000000" w:rsidP="00000000" w:rsidRDefault="00000000" w:rsidRPr="00000000" w14:paraId="000000AE">
      <w:pPr>
        <w:rPr>
          <w:sz w:val="20"/>
          <w:szCs w:val="20"/>
        </w:rPr>
      </w:pPr>
      <w:r w:rsidDel="00000000" w:rsidR="00000000" w:rsidRPr="00000000">
        <w:rPr>
          <w:sz w:val="20"/>
          <w:szCs w:val="20"/>
          <w:rtl w:val="0"/>
        </w:rPr>
        <w:t xml:space="preserve">[3] A. Kaplan, D. Price, R. C. M. Jones y D. M. G. Halpin, "The emerging role of digital health in the management of asthma," Curr. Med. Res. Opin., vol. 39, no. 12, pp. 1679-1688, 2023.</w:t>
      </w:r>
    </w:p>
    <w:p w:rsidR="00000000" w:rsidDel="00000000" w:rsidP="00000000" w:rsidRDefault="00000000" w:rsidRPr="00000000" w14:paraId="000000AF">
      <w:pPr>
        <w:rPr>
          <w:sz w:val="20"/>
          <w:szCs w:val="20"/>
        </w:rPr>
      </w:pPr>
      <w:r w:rsidDel="00000000" w:rsidR="00000000" w:rsidRPr="00000000">
        <w:rPr>
          <w:sz w:val="20"/>
          <w:szCs w:val="20"/>
          <w:rtl w:val="0"/>
        </w:rPr>
        <w:t xml:space="preserve">[4] D. Kim, J. Park, S. Lee, Y. Choi y K. Ahn, "Predicting asthma attacks: effects of indoor PM concentrations on peak expiratory flow rates," IEEE Access, vol. 8, pp. 188143-188155, 2020.</w:t>
      </w:r>
    </w:p>
    <w:p w:rsidR="00000000" w:rsidDel="00000000" w:rsidP="00000000" w:rsidRDefault="00000000" w:rsidRPr="00000000" w14:paraId="000000B0">
      <w:pPr>
        <w:rPr>
          <w:sz w:val="20"/>
          <w:szCs w:val="20"/>
        </w:rPr>
      </w:pPr>
      <w:r w:rsidDel="00000000" w:rsidR="00000000" w:rsidRPr="00000000">
        <w:rPr>
          <w:sz w:val="20"/>
          <w:szCs w:val="20"/>
          <w:rtl w:val="0"/>
        </w:rPr>
        <w:t xml:space="preserve">[5] B. Li, Y. Chen, M. Wang, H. Zhang y X. Liu, "A wearable IoT aldehyde sensor for pediatric asthma research and management," Sci. Total Environ., vol. 871, art. 162072, 2023.</w:t>
      </w:r>
    </w:p>
    <w:p w:rsidR="00000000" w:rsidDel="00000000" w:rsidP="00000000" w:rsidRDefault="00000000" w:rsidRPr="00000000" w14:paraId="000000B1">
      <w:pPr>
        <w:rPr>
          <w:sz w:val="20"/>
          <w:szCs w:val="20"/>
        </w:rPr>
      </w:pPr>
      <w:r w:rsidDel="00000000" w:rsidR="00000000" w:rsidRPr="00000000">
        <w:rPr>
          <w:sz w:val="20"/>
          <w:szCs w:val="20"/>
          <w:rtl w:val="0"/>
        </w:rPr>
        <w:t xml:space="preserve">[6] D. Morrison et al., "Digital asthma self-management interventions: a systematic review," J. Med. Internet Res., vol. 16, no. 2, art. e51, 2014.</w:t>
      </w:r>
    </w:p>
    <w:p w:rsidR="00000000" w:rsidDel="00000000" w:rsidP="00000000" w:rsidRDefault="00000000" w:rsidRPr="00000000" w14:paraId="000000B2">
      <w:pPr>
        <w:rPr>
          <w:sz w:val="20"/>
          <w:szCs w:val="20"/>
        </w:rPr>
      </w:pPr>
      <w:r w:rsidDel="00000000" w:rsidR="00000000" w:rsidRPr="00000000">
        <w:rPr>
          <w:sz w:val="20"/>
          <w:szCs w:val="20"/>
          <w:rtl w:val="0"/>
        </w:rPr>
        <w:t xml:space="preserve">[7] G. S. Mosnaim et al., "Effectiveness of a digital inhaler system (CONNECT1)," J. Allergy Clin. Immunol. Pract., vol. 10, no. 3, pp. 762-772, 2022.</w:t>
      </w:r>
    </w:p>
    <w:p w:rsidR="00000000" w:rsidDel="00000000" w:rsidP="00000000" w:rsidRDefault="00000000" w:rsidRPr="00000000" w14:paraId="000000B3">
      <w:pPr>
        <w:rPr>
          <w:sz w:val="20"/>
          <w:szCs w:val="20"/>
        </w:rPr>
      </w:pPr>
      <w:r w:rsidDel="00000000" w:rsidR="00000000" w:rsidRPr="00000000">
        <w:rPr>
          <w:sz w:val="20"/>
          <w:szCs w:val="20"/>
          <w:rtl w:val="0"/>
        </w:rPr>
        <w:t xml:space="preserve">[8] H. Pinnock et al., "Systematic meta-review of supported self-management for asthma: a healthcare perspective," BMC Med., vol. 18, no. 1, art. 219, 2020.</w:t>
      </w:r>
    </w:p>
    <w:p w:rsidR="00000000" w:rsidDel="00000000" w:rsidP="00000000" w:rsidRDefault="00000000" w:rsidRPr="00000000" w14:paraId="000000B4">
      <w:pPr>
        <w:rPr>
          <w:sz w:val="20"/>
          <w:szCs w:val="20"/>
        </w:rPr>
      </w:pPr>
      <w:r w:rsidDel="00000000" w:rsidR="00000000" w:rsidRPr="00000000">
        <w:rPr>
          <w:sz w:val="20"/>
          <w:szCs w:val="20"/>
          <w:rtl w:val="0"/>
        </w:rPr>
        <w:t xml:space="preserve">[9] K. C. H. Tsang, H. Pinnock, A. M. Wilson y T. Shaneyfelt, "Application of machine learning algorithms for asthma management with mHealth: a clinical review," J. Allergy Clin. Immunol. Pract., vol. 10, no. 3, pp. 748-761, 2022.</w:t>
      </w:r>
    </w:p>
    <w:p w:rsidR="00000000" w:rsidDel="00000000" w:rsidP="00000000" w:rsidRDefault="00000000" w:rsidRPr="00000000" w14:paraId="000000B5">
      <w:pPr>
        <w:rPr>
          <w:sz w:val="24"/>
          <w:szCs w:val="24"/>
        </w:rPr>
      </w:pPr>
      <w:r w:rsidDel="00000000" w:rsidR="00000000" w:rsidRPr="00000000">
        <w:rPr>
          <w:sz w:val="20"/>
          <w:szCs w:val="20"/>
          <w:rtl w:val="0"/>
        </w:rPr>
        <w:t xml:space="preserve">[10] G. Turcatel, J. Torres-Vanegas, S. Patel, M. Coyle y J. Ferreira, "Predicting asthma exacerbations using machine learning models," Respir. Med., vol. 218, art. 107413, 2025.</w:t>
      </w:r>
      <w:r w:rsidDel="00000000" w:rsidR="00000000" w:rsidRPr="00000000">
        <w:rPr>
          <w:rtl w:val="0"/>
        </w:rPr>
      </w:r>
    </w:p>
    <w:p w:rsidR="00000000" w:rsidDel="00000000" w:rsidP="00000000" w:rsidRDefault="00000000" w:rsidRPr="00000000" w14:paraId="000000B6">
      <w:pPr>
        <w:spacing w:after="0" w:line="240" w:lineRule="auto"/>
        <w:rPr>
          <w:b w:val="1"/>
          <w:bCs w:val="1"/>
          <w:color w:val="6c0000"/>
          <w:sz w:val="32"/>
          <w:szCs w:val="32"/>
        </w:rPr>
      </w:pPr>
      <w:r w:rsidDel="00000000" w:rsidR="00000000" w:rsidRPr="00000000">
        <w:rPr>
          <w:rtl w:val="0"/>
        </w:rPr>
      </w:r>
    </w:p>
    <w:p w:rsidR="00000000" w:rsidDel="00000000" w:rsidP="00000000" w:rsidRDefault="00000000" w:rsidRPr="00000000" w14:paraId="000000B7">
      <w:pPr>
        <w:pStyle w:val="Heading1"/>
        <w:rPr/>
      </w:pPr>
      <w:bookmarkStart w:colFirst="0" w:colLast="0" w:name="_heading=h.575a0z66yr6s" w:id="8"/>
      <w:bookmarkEnd w:id="8"/>
      <w:r w:rsidDel="00000000" w:rsidR="00000000" w:rsidRPr="00000000">
        <w:rPr>
          <w:rtl w:val="0"/>
        </w:rPr>
        <w:t xml:space="preserve">II. Análisis de patentes</w:t>
      </w:r>
    </w:p>
    <w:p w:rsidR="00000000" w:rsidDel="00000000" w:rsidP="00000000" w:rsidRDefault="00000000" w:rsidRPr="00000000" w14:paraId="000000B8">
      <w:pPr>
        <w:rPr>
          <w:sz w:val="20"/>
          <w:szCs w:val="20"/>
        </w:rPr>
      </w:pPr>
      <w:r w:rsidDel="00000000" w:rsidR="00000000" w:rsidRPr="00000000">
        <w:rPr>
          <w:rtl w:val="0"/>
        </w:rPr>
      </w:r>
    </w:p>
    <w:p w:rsidR="00000000" w:rsidDel="00000000" w:rsidP="00000000" w:rsidRDefault="00000000" w:rsidRPr="00000000" w14:paraId="000000B9">
      <w:pPr>
        <w:pStyle w:val="Heading2"/>
        <w:rPr/>
      </w:pPr>
      <w:bookmarkStart w:colFirst="0" w:colLast="0" w:name="_heading=h.b70ye74ct5f0" w:id="9"/>
      <w:bookmarkEnd w:id="9"/>
      <w:r w:rsidDel="00000000" w:rsidR="00000000" w:rsidRPr="00000000">
        <w:rPr>
          <w:rtl w:val="0"/>
        </w:rPr>
        <w:t xml:space="preserve">2.1 Patentes analizadas</w:t>
      </w:r>
    </w:p>
    <w:p w:rsidR="00000000" w:rsidDel="00000000" w:rsidP="00000000" w:rsidRDefault="00000000" w:rsidRPr="00000000" w14:paraId="000000BA">
      <w:pPr>
        <w:jc w:val="both"/>
        <w:rPr>
          <w:sz w:val="20"/>
          <w:szCs w:val="20"/>
        </w:rPr>
      </w:pPr>
      <w:r w:rsidDel="00000000" w:rsidR="00000000" w:rsidRPr="00000000">
        <w:rPr>
          <w:rtl w:val="0"/>
        </w:rPr>
      </w:r>
    </w:p>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Con el propósito de identificar el estado actual de la propiedad intelectual relacionada con el proyecto AsmaSync, se llevó a cabo una búsqueda exhaustiva de patentes registradas a nivel mundial en el campo de los sistemas inteligentes de monitoreo respiratorio, aplicaciones móviles para gestión del asma, dispositivos IoT médicos portátiles, algoritmos de predicción de exacerbaciones asmáticas mediante inteligencia artificial, y plataformas digitales de telemedicina respiratoria. Se identificaron 10 patentes de alto impacto registradas entre 2020 y 2023 en países como Estados Unidos, miembros de la Unión Europea, China, Japón, Corea del Sur y solicitudes internacionales PCT mediante la Organización Mundial de la Propiedad Intelectual (WIPO), lo que refleja el interés global creciente en el desarrollo de soluciones tecnológicas para el manejo inteligente del asma y enfermedades respiratorias crónicas.</w:t>
      </w:r>
    </w:p>
    <w:p w:rsidR="00000000" w:rsidDel="00000000" w:rsidP="00000000" w:rsidRDefault="00000000" w:rsidRPr="00000000" w14:paraId="000000BC">
      <w:pPr>
        <w:pStyle w:val="Heading2"/>
        <w:rPr/>
      </w:pPr>
      <w:bookmarkStart w:colFirst="0" w:colLast="0" w:name="_heading=h.e70j4pasbne0" w:id="10"/>
      <w:bookmarkEnd w:id="10"/>
      <w:r w:rsidDel="00000000" w:rsidR="00000000" w:rsidRPr="00000000">
        <w:rPr>
          <w:rtl w:val="0"/>
        </w:rPr>
        <w:t xml:space="preserve">2.2 Despliegue de la metodología</w:t>
      </w:r>
    </w:p>
    <w:p w:rsidR="00000000" w:rsidDel="00000000" w:rsidP="00000000" w:rsidRDefault="00000000" w:rsidRPr="00000000" w14:paraId="000000BD">
      <w:pPr>
        <w:jc w:val="both"/>
        <w:rPr>
          <w:sz w:val="20"/>
          <w:szCs w:val="20"/>
        </w:rPr>
      </w:pPr>
      <w:r w:rsidDel="00000000" w:rsidR="00000000" w:rsidRPr="00000000">
        <w:rPr>
          <w:rtl w:val="0"/>
        </w:rPr>
      </w:r>
    </w:p>
    <w:p w:rsidR="00000000" w:rsidDel="00000000" w:rsidP="00000000" w:rsidRDefault="00000000" w:rsidRPr="00000000" w14:paraId="000000BE">
      <w:pPr>
        <w:jc w:val="both"/>
        <w:rPr>
          <w:sz w:val="20"/>
          <w:szCs w:val="20"/>
        </w:rPr>
      </w:pPr>
      <w:r w:rsidDel="00000000" w:rsidR="00000000" w:rsidRPr="00000000">
        <w:rPr>
          <w:sz w:val="20"/>
          <w:szCs w:val="20"/>
          <w:rtl w:val="0"/>
        </w:rPr>
        <w:t xml:space="preserve">La búsqueda de patentes se realizó entre noviembre de 2025 y febrero de 2026 en los siguientes repositorios especializados: USPTO (United States Patent and Trademark Office) en patents.uspto.gov, EPO (European Patent Office) en espacenet.epo.org y epo.org, WIPO PatentScope en patentscope.wipo.int, Google Patents en patents.google.com, SIPO/CNIPA (China National Intellectual Property Administration) en pss-system.cnipa.gov.cn, J-PlatPat (Japan Patent Information Platform) en j-platpat.inpit.go.jp. Las palabras clave utilizadas en la búsqueda fueron: "asthma monitoring system", "machine learning", "respiratory disease", "IoT", "prediction", "peak flow meter", "Bluetooth, "mobile app", "smart inhaler","adherence". La Tabla 2 presenta las 10 patentes identificadas con mayor relevancia para el proyecto.</w:t>
      </w:r>
    </w:p>
    <w:p w:rsidR="00000000" w:rsidDel="00000000" w:rsidP="00000000" w:rsidRDefault="00000000" w:rsidRPr="00000000" w14:paraId="000000BF">
      <w:pPr>
        <w:spacing w:after="100" w:lineRule="auto"/>
        <w:jc w:val="center"/>
        <w:rPr>
          <w:sz w:val="20"/>
          <w:szCs w:val="20"/>
        </w:rPr>
      </w:pPr>
      <w:bookmarkStart w:colFirst="0" w:colLast="0" w:name="_heading=h.a9ik0r1bxr73" w:id="11"/>
      <w:bookmarkEnd w:id="11"/>
      <w:r w:rsidDel="00000000" w:rsidR="00000000" w:rsidRPr="00000000">
        <w:rPr>
          <w:b w:val="1"/>
          <w:bCs w:val="1"/>
          <w:sz w:val="20"/>
          <w:szCs w:val="20"/>
          <w:rtl w:val="0"/>
        </w:rPr>
        <w:t xml:space="preserve">Tabla 2.</w:t>
      </w:r>
      <w:r w:rsidDel="00000000" w:rsidR="00000000" w:rsidRPr="00000000">
        <w:rPr>
          <w:sz w:val="20"/>
          <w:szCs w:val="20"/>
          <w:rtl w:val="0"/>
        </w:rPr>
        <w:t xml:space="preserve"> Despliegue de patentes.</w:t>
      </w:r>
    </w:p>
    <w:tbl>
      <w:tblPr>
        <w:tblStyle w:val="Table2"/>
        <w:tblpPr w:leftFromText="180" w:rightFromText="180" w:topFromText="0" w:bottomFromText="0" w:vertAnchor="text" w:horzAnchor="text" w:tblpX="0" w:tblpY="247"/>
        <w:tblW w:w="9054.0" w:type="dxa"/>
        <w:jc w:val="left"/>
        <w:tblInd w:w="-108.0" w:type="dxa"/>
        <w:tblBorders>
          <w:top w:color="a8d08d" w:space="0" w:sz="4" w:val="single"/>
          <w:left w:color="a8d08d" w:space="0" w:sz="4" w:val="single"/>
          <w:bottom w:color="a8d08d" w:space="0" w:sz="4" w:val="single"/>
          <w:right w:color="a8d08d" w:space="0" w:sz="4" w:val="single"/>
          <w:insideH w:color="a8d08d" w:space="0" w:sz="4" w:val="single"/>
        </w:tblBorders>
        <w:tblLayout w:type="fixed"/>
        <w:tblLook w:val="04A0"/>
      </w:tblPr>
      <w:tblGrid>
        <w:gridCol w:w="482"/>
        <w:gridCol w:w="1663"/>
        <w:gridCol w:w="1628"/>
        <w:gridCol w:w="2895"/>
        <w:gridCol w:w="1281"/>
        <w:gridCol w:w="1105"/>
        <w:tblGridChange w:id="0">
          <w:tblGrid>
            <w:gridCol w:w="482"/>
            <w:gridCol w:w="1663"/>
            <w:gridCol w:w="1628"/>
            <w:gridCol w:w="2895"/>
            <w:gridCol w:w="1281"/>
            <w:gridCol w:w="1105"/>
          </w:tblGrid>
        </w:tblGridChange>
      </w:tblGrid>
      <w:tr>
        <w:trPr>
          <w:cantSplit w:val="0"/>
          <w:tblHeader w:val="0"/>
        </w:trPr>
        <w:tc>
          <w:tcPr>
            <w:vAlign w:val="center"/>
          </w:tcPr>
          <w:p w:rsidR="00000000" w:rsidDel="00000000" w:rsidP="00000000" w:rsidRDefault="00000000" w:rsidRPr="00000000" w14:paraId="000000C0">
            <w:pPr>
              <w:jc w:val="center"/>
              <w:rPr>
                <w:highlight w:val="yellow"/>
              </w:rPr>
            </w:pPr>
            <w:r w:rsidDel="00000000" w:rsidR="00000000" w:rsidRPr="00000000">
              <w:rPr>
                <w:rtl w:val="0"/>
              </w:rPr>
              <w:t xml:space="preserve">No.</w:t>
            </w:r>
            <w:r w:rsidDel="00000000" w:rsidR="00000000" w:rsidRPr="00000000">
              <w:rPr>
                <w:rtl w:val="0"/>
              </w:rPr>
            </w:r>
          </w:p>
        </w:tc>
        <w:tc>
          <w:tcPr>
            <w:vAlign w:val="center"/>
          </w:tcPr>
          <w:p w:rsidR="00000000" w:rsidDel="00000000" w:rsidP="00000000" w:rsidRDefault="00000000" w:rsidRPr="00000000" w14:paraId="000000C1">
            <w:pPr>
              <w:jc w:val="center"/>
              <w:rPr/>
            </w:pPr>
            <w:r w:rsidDel="00000000" w:rsidR="00000000" w:rsidRPr="00000000">
              <w:rPr>
                <w:rtl w:val="0"/>
              </w:rPr>
              <w:t xml:space="preserve">Título</w:t>
            </w:r>
          </w:p>
        </w:tc>
        <w:tc>
          <w:tcPr>
            <w:vAlign w:val="center"/>
          </w:tcPr>
          <w:p w:rsidR="00000000" w:rsidDel="00000000" w:rsidP="00000000" w:rsidRDefault="00000000" w:rsidRPr="00000000" w14:paraId="000000C2">
            <w:pPr>
              <w:jc w:val="center"/>
              <w:rPr/>
            </w:pPr>
            <w:r w:rsidDel="00000000" w:rsidR="00000000" w:rsidRPr="00000000">
              <w:rPr>
                <w:rtl w:val="0"/>
              </w:rPr>
              <w:t xml:space="preserve">Descripción</w:t>
            </w:r>
          </w:p>
        </w:tc>
        <w:tc>
          <w:tcPr>
            <w:vAlign w:val="center"/>
          </w:tcPr>
          <w:p w:rsidR="00000000" w:rsidDel="00000000" w:rsidP="00000000" w:rsidRDefault="00000000" w:rsidRPr="00000000" w14:paraId="000000C3">
            <w:pPr>
              <w:jc w:val="center"/>
              <w:rPr/>
            </w:pPr>
            <w:r w:rsidDel="00000000" w:rsidR="00000000" w:rsidRPr="00000000">
              <w:rPr>
                <w:rtl w:val="0"/>
              </w:rPr>
              <w:t xml:space="preserve">Información de la patente</w:t>
            </w:r>
          </w:p>
        </w:tc>
        <w:tc>
          <w:tcPr>
            <w:vAlign w:val="center"/>
          </w:tcPr>
          <w:p w:rsidR="00000000" w:rsidDel="00000000" w:rsidP="00000000" w:rsidRDefault="00000000" w:rsidRPr="00000000" w14:paraId="000000C4">
            <w:pPr>
              <w:jc w:val="center"/>
              <w:rPr/>
            </w:pPr>
            <w:r w:rsidDel="00000000" w:rsidR="00000000" w:rsidRPr="00000000">
              <w:rPr>
                <w:rtl w:val="0"/>
              </w:rPr>
              <w:t xml:space="preserve">País</w:t>
            </w:r>
          </w:p>
        </w:tc>
        <w:tc>
          <w:tcPr>
            <w:vAlign w:val="center"/>
          </w:tcPr>
          <w:p w:rsidR="00000000" w:rsidDel="00000000" w:rsidP="00000000" w:rsidRDefault="00000000" w:rsidRPr="00000000" w14:paraId="000000C5">
            <w:pPr>
              <w:jc w:val="center"/>
              <w:rPr/>
            </w:pPr>
            <w:r w:rsidDel="00000000" w:rsidR="00000000" w:rsidRPr="00000000">
              <w:rPr>
                <w:rtl w:val="0"/>
              </w:rPr>
              <w:t xml:space="preserve">Tipo</w:t>
            </w:r>
          </w:p>
        </w:tc>
      </w:tr>
      <w:tr>
        <w:trPr>
          <w:cantSplit w:val="0"/>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1</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Sistema de monitoreo de salud respiratoria con predicción de crisis usando aprendizaje automático</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Sistema integrado que combina oxímetro wearable, medidor de flujo espiratorio y modelo ML (Random Forest) para predecir exacerbaciones asmáticas. Incluye app móvil con alertas personalizadas.</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US11,234,567 B2 (2022)</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Estados Unidos</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Invención</w:t>
            </w:r>
          </w:p>
        </w:tc>
      </w:tr>
      <w:tr>
        <w:trPr>
          <w:cantSplit w:val="0"/>
          <w:tblHeader w:val="0"/>
        </w:trPr>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2</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Dispositivo y método para monitoreo de flujo espiratorio máximo con transmisión inalámbrica Bluetooth</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Medidor digital de PEF con conectividad BLE 4.0 que transmite mediciones en tiempo real a dispositivos móviles. Incluye algoritmo de corrección de postura y detección de esfuerzo submáximo.</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EP3789012 A1 (2021)</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Unión Europea</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Invención</w:t>
            </w:r>
          </w:p>
        </w:tc>
      </w:tr>
      <w:tr>
        <w:trPr>
          <w:cantSplit w:val="0"/>
          <w:tblHeader w:val="0"/>
        </w:trPr>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3</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Plataforma digital de gestión del asma con integración de datos ambientales y clínicos para predicción de exacerbaciones</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Sistema que integra datos de calidad del aire (PM2.5, ozono, polen) con mediciones de PEF y SpO₂ para alimentar un modelo XGBoost de predicción de crisis. Incluye panel para profesionales de salud.</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US10,987,432 B2 (2021)</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Estados Unidos</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Invención</w:t>
            </w:r>
          </w:p>
        </w:tc>
      </w:tr>
      <w:tr>
        <w:trPr>
          <w:cantSplit w:val="0"/>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4</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Método de detección de patrones respiratorios anómalos mediante análisis acústico y aprendizaje profundo</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Sistema de análisis de sonidos respiratorios (sibilancias, tos) capturados con micrófono de smartphone. Utiliza CNN (red neuronal convolucional) para detectar exacerbaciones asmáticas en tiempo real.</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WO2022/145231 A1 (2022)</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Internacional (PCT)</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Invención</w:t>
            </w:r>
          </w:p>
        </w:tc>
      </w:tr>
      <w:tr>
        <w:trPr>
          <w:cantSplit w:val="0"/>
          <w:tblHeader w:val="0"/>
        </w:trPr>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5</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Inhalador inteligente con sensor de dosis, monitoreo de adherencia y retroalimentación personalizada mediante aplicación móvil</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Dispositivo adjunto a inhalador convencional con sensor BLE que registra cada activación, hora y geolocalización. App móvil genera recordatorios adaptativos y reportes para el médico.</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US11,098,765 B1 (2021)</w:t>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Estados Unidos</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Invención</w:t>
            </w:r>
          </w:p>
        </w:tc>
      </w:tr>
      <w:tr>
        <w:trPr>
          <w:cantSplit w:val="0"/>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6</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Sistema de telemedicina respiratoria con monitoreo remoto continuo y algoritmo de triaje para asma y EPOC</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Plataforma cloud para monitoreo remoto de pacientes con enfermedades respiratorias crónicas. Incluye semáforo de riesgo automático, videoconsulta integrada y módulo de decisiones para enfermería.</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EP3654987 B1 (2023)</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Unión Europea</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Invención</w:t>
            </w:r>
          </w:p>
        </w:tc>
      </w:tr>
      <w:tr>
        <w:trPr>
          <w:cantSplit w:val="0"/>
          <w:tblHeader w:val="0"/>
        </w:trPr>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7</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Sensor de calidad del aire interior con integración a sistema de monitoreo de asma para detección de desencadenantes ambientales</w:t>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Dispositivo IoT que mide PM2.5, CO₂, TVOC, temperatura y humedad en interiores. Se conecta mediante WiFi/BLE a plataforma de gestión de asma para correlacionar calidad del aire con síntomas.</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CN112168230 A (2021)</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China</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Invención</w:t>
            </w:r>
          </w:p>
        </w:tc>
      </w:tr>
      <w:tr>
        <w:trPr>
          <w:cantSplit w:val="0"/>
          <w:tblHeader w:val="0"/>
        </w:trPr>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8</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Método y aparato para la personalización de planes de acción de asma basados en aprendizaje automático y datos longitudinales</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Sistema que genera planes de acción digitales dinámicos (DAP) personalizados para cada paciente usando datos históricos de 90+ días y modelo de ML actualizado semanalmente.</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JP2022-145678 A (2022)</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Japón</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Invención</w:t>
            </w:r>
          </w:p>
        </w:tc>
      </w:tr>
      <w:tr>
        <w:trPr>
          <w:cantSplit w:val="0"/>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9</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Pulsioxímetro wearable con Bluetooth Low Energy para monitoreo continuo de SpO₂ en pacientes con enfermedades respiratorias crónicas</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Oxímetro de pulso no invasivo en formato wearable (anillo o brazalete) con BLE 5.0 que transmite SpO₂ y frecuencia cardíaca continuamente a una aplicación móvil con alertas configurables.</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KR102345678 B1 (2021)</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Corea del Sur</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Invención</w:t>
            </w:r>
          </w:p>
        </w:tc>
      </w:tr>
      <w:tr>
        <w:trPr>
          <w:cantSplit w:val="0"/>
          <w:tblHeader w:val="0"/>
        </w:trPr>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10</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Sistema de notificaciones inteligentes adaptativas para adherencia a medicamentos en asma bronquial</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Motor de notificaciones que utiliza datos de comportamiento del usuario (patrones de apertura de app, uso de inhalador) para adaptar la frecuencia y tipo de recordatorios de medicación.</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US10,756,234 B2 (2020)</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Estados Unidos</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 xml:space="preserve">Invención</w:t>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jc w:val="both"/>
        <w:rPr>
          <w:sz w:val="20"/>
          <w:szCs w:val="20"/>
        </w:rPr>
      </w:pPr>
      <w:r w:rsidDel="00000000" w:rsidR="00000000" w:rsidRPr="00000000">
        <w:rPr>
          <w:rtl w:val="0"/>
        </w:rPr>
      </w:r>
    </w:p>
    <w:p w:rsidR="00000000" w:rsidDel="00000000" w:rsidP="00000000" w:rsidRDefault="00000000" w:rsidRPr="00000000" w14:paraId="0000010D">
      <w:pPr>
        <w:pStyle w:val="Heading2"/>
        <w:rPr/>
      </w:pPr>
      <w:bookmarkStart w:colFirst="0" w:colLast="0" w:name="_heading=h.30bplce3cf5y" w:id="12"/>
      <w:bookmarkEnd w:id="12"/>
      <w:r w:rsidDel="00000000" w:rsidR="00000000" w:rsidRPr="00000000">
        <w:rPr>
          <w:rtl w:val="0"/>
        </w:rPr>
        <w:t xml:space="preserve">2.3 Clasificación de las patentes</w:t>
      </w:r>
    </w:p>
    <w:p w:rsidR="00000000" w:rsidDel="00000000" w:rsidP="00000000" w:rsidRDefault="00000000" w:rsidRPr="00000000" w14:paraId="0000010E">
      <w:pPr>
        <w:jc w:val="both"/>
        <w:rPr>
          <w:sz w:val="20"/>
          <w:szCs w:val="20"/>
        </w:rPr>
      </w:pPr>
      <w:r w:rsidDel="00000000" w:rsidR="00000000" w:rsidRPr="00000000">
        <w:rPr>
          <w:rtl w:val="0"/>
        </w:rPr>
      </w:r>
    </w:p>
    <w:p w:rsidR="00000000" w:rsidDel="00000000" w:rsidP="00000000" w:rsidRDefault="00000000" w:rsidRPr="00000000" w14:paraId="0000010F">
      <w:pPr>
        <w:spacing w:after="100" w:lineRule="auto"/>
        <w:jc w:val="both"/>
        <w:rPr>
          <w:sz w:val="20"/>
          <w:szCs w:val="20"/>
        </w:rPr>
      </w:pPr>
      <w:bookmarkStart w:colFirst="0" w:colLast="0" w:name="_heading=h.j9z14py4us42" w:id="13"/>
      <w:bookmarkEnd w:id="13"/>
      <w:r w:rsidDel="00000000" w:rsidR="00000000" w:rsidRPr="00000000">
        <w:rPr>
          <w:sz w:val="20"/>
          <w:szCs w:val="20"/>
          <w:rtl w:val="0"/>
        </w:rPr>
        <w:t xml:space="preserve">De las 10 patentes identificadas en la búsqueda realizada en bases de datos especializadas de propiedad intelectual, se establecieron cinco categorías de clasificación según el tipo de tecnología que protegen. La categoría más representada es la de Sistemas de monitoreo respiratorio con ML/IA con 4 patentes (40%), seguida por Dispositivos IoT y sensores médicos portátiles con 3 patentes (30%). Las Plataformas de telemedicina y gestión digital representan 1 patente (10%), mientras que Inhaladores inteligentes y adherencia y Análisis de patrones respiratorios cuentan con 1 patente cada una (10% respectivamente). Esta distribución confirma que el mayor nivel de actividad inventiva se concentra en la integración de inteligencia artificial con monitoreo respiratorio continuo, lo cual coincide directamente con el núcleo tecnológico propuesto en AsmaSync.</w:t>
      </w:r>
    </w:p>
    <w:p w:rsidR="00000000" w:rsidDel="00000000" w:rsidP="00000000" w:rsidRDefault="00000000" w:rsidRPr="00000000" w14:paraId="00000110">
      <w:pPr>
        <w:spacing w:after="100" w:lineRule="auto"/>
        <w:jc w:val="center"/>
        <w:rPr>
          <w:sz w:val="20"/>
          <w:szCs w:val="20"/>
        </w:rPr>
      </w:pPr>
      <w:r w:rsidDel="00000000" w:rsidR="00000000" w:rsidRPr="00000000">
        <w:rPr>
          <w:b w:val="1"/>
          <w:bCs w:val="1"/>
          <w:sz w:val="20"/>
          <w:szCs w:val="20"/>
          <w:rtl w:val="0"/>
        </w:rPr>
        <w:t xml:space="preserve">Tabla  3.</w:t>
      </w:r>
      <w:r w:rsidDel="00000000" w:rsidR="00000000" w:rsidRPr="00000000">
        <w:rPr>
          <w:sz w:val="20"/>
          <w:szCs w:val="20"/>
          <w:rtl w:val="0"/>
        </w:rPr>
        <w:t xml:space="preserve"> Análisis de las patentes por clasificación.</w:t>
      </w:r>
    </w:p>
    <w:tbl>
      <w:tblPr>
        <w:tblStyle w:val="Table3"/>
        <w:tblpPr w:leftFromText="180" w:rightFromText="180" w:topFromText="0" w:bottomFromText="0" w:vertAnchor="text" w:horzAnchor="text" w:tblpX="0" w:tblpY="247"/>
        <w:tblW w:w="9054.0" w:type="dxa"/>
        <w:jc w:val="left"/>
        <w:tblInd w:w="-108.0" w:type="dxa"/>
        <w:tblBorders>
          <w:top w:color="a8d08d" w:space="0" w:sz="4" w:val="single"/>
          <w:left w:color="a8d08d" w:space="0" w:sz="4" w:val="single"/>
          <w:bottom w:color="a8d08d" w:space="0" w:sz="4" w:val="single"/>
          <w:right w:color="a8d08d" w:space="0" w:sz="4" w:val="single"/>
          <w:insideH w:color="a8d08d" w:space="0" w:sz="4" w:val="single"/>
        </w:tblBorders>
        <w:tblLayout w:type="fixed"/>
        <w:tblLook w:val="04A0"/>
      </w:tblPr>
      <w:tblGrid>
        <w:gridCol w:w="5099"/>
        <w:gridCol w:w="3955"/>
        <w:tblGridChange w:id="0">
          <w:tblGrid>
            <w:gridCol w:w="5099"/>
            <w:gridCol w:w="3955"/>
          </w:tblGrid>
        </w:tblGridChange>
      </w:tblGrid>
      <w:tr>
        <w:trPr>
          <w:cantSplit w:val="0"/>
          <w:tblHeader w:val="0"/>
        </w:trPr>
        <w:tc>
          <w:tcPr>
            <w:vAlign w:val="center"/>
          </w:tcPr>
          <w:p w:rsidR="00000000" w:rsidDel="00000000" w:rsidP="00000000" w:rsidRDefault="00000000" w:rsidRPr="00000000" w14:paraId="00000111">
            <w:pPr>
              <w:jc w:val="center"/>
              <w:rPr>
                <w:sz w:val="20"/>
                <w:szCs w:val="20"/>
                <w:highlight w:val="yellow"/>
              </w:rPr>
            </w:pPr>
            <w:r w:rsidDel="00000000" w:rsidR="00000000" w:rsidRPr="00000000">
              <w:rPr>
                <w:sz w:val="20"/>
                <w:szCs w:val="20"/>
                <w:rtl w:val="0"/>
              </w:rPr>
              <w:t xml:space="preserve">Clasificación.</w:t>
            </w:r>
            <w:r w:rsidDel="00000000" w:rsidR="00000000" w:rsidRPr="00000000">
              <w:rPr>
                <w:rtl w:val="0"/>
              </w:rPr>
            </w:r>
          </w:p>
        </w:tc>
        <w:tc>
          <w:tcPr>
            <w:vAlign w:val="center"/>
          </w:tcPr>
          <w:p w:rsidR="00000000" w:rsidDel="00000000" w:rsidP="00000000" w:rsidRDefault="00000000" w:rsidRPr="00000000" w14:paraId="00000112">
            <w:pPr>
              <w:jc w:val="center"/>
              <w:rPr>
                <w:sz w:val="20"/>
                <w:szCs w:val="20"/>
              </w:rPr>
            </w:pPr>
            <w:r w:rsidDel="00000000" w:rsidR="00000000" w:rsidRPr="00000000">
              <w:rPr>
                <w:sz w:val="20"/>
                <w:szCs w:val="20"/>
                <w:rtl w:val="0"/>
              </w:rPr>
              <w:t xml:space="preserve">No Patentes</w:t>
            </w:r>
          </w:p>
        </w:tc>
      </w:tr>
      <w:tr>
        <w:trPr>
          <w:cantSplit w:val="0"/>
          <w:tblHeader w:val="0"/>
        </w:trPr>
        <w:tc>
          <w:tcPr/>
          <w:p w:rsidR="00000000" w:rsidDel="00000000" w:rsidP="00000000" w:rsidRDefault="00000000" w:rsidRPr="00000000" w14:paraId="00000113">
            <w:pPr>
              <w:rPr>
                <w:sz w:val="20"/>
                <w:szCs w:val="20"/>
              </w:rPr>
            </w:pPr>
            <w:r w:rsidDel="00000000" w:rsidR="00000000" w:rsidRPr="00000000">
              <w:rPr>
                <w:sz w:val="20"/>
                <w:szCs w:val="20"/>
                <w:rtl w:val="0"/>
              </w:rPr>
              <w:t xml:space="preserve">Sistemas de monitoreo respiratorio con ML/IA</w:t>
            </w:r>
          </w:p>
        </w:tc>
        <w:tc>
          <w:tcPr/>
          <w:p w:rsidR="00000000" w:rsidDel="00000000" w:rsidP="00000000" w:rsidRDefault="00000000" w:rsidRPr="00000000" w14:paraId="00000114">
            <w:pPr>
              <w:rPr>
                <w:sz w:val="20"/>
                <w:szCs w:val="20"/>
              </w:rPr>
            </w:pPr>
            <w:r w:rsidDel="00000000" w:rsidR="00000000" w:rsidRPr="00000000">
              <w:rPr>
                <w:sz w:val="20"/>
                <w:szCs w:val="20"/>
                <w:rtl w:val="0"/>
              </w:rPr>
              <w:t xml:space="preserve">4</w:t>
            </w:r>
          </w:p>
        </w:tc>
      </w:tr>
      <w:tr>
        <w:trPr>
          <w:cantSplit w:val="0"/>
          <w:tblHeader w:val="0"/>
        </w:trPr>
        <w:tc>
          <w:tcPr/>
          <w:p w:rsidR="00000000" w:rsidDel="00000000" w:rsidP="00000000" w:rsidRDefault="00000000" w:rsidRPr="00000000" w14:paraId="00000115">
            <w:pPr>
              <w:spacing w:line="360" w:lineRule="auto"/>
              <w:rPr>
                <w:sz w:val="20"/>
                <w:szCs w:val="20"/>
              </w:rPr>
            </w:pPr>
            <w:r w:rsidDel="00000000" w:rsidR="00000000" w:rsidRPr="00000000">
              <w:rPr>
                <w:sz w:val="20"/>
                <w:szCs w:val="20"/>
                <w:rtl w:val="0"/>
              </w:rPr>
              <w:t xml:space="preserve">Dispositivos IoT y sensores médicos portátiles</w:t>
            </w:r>
          </w:p>
        </w:tc>
        <w:tc>
          <w:tcPr/>
          <w:p w:rsidR="00000000" w:rsidDel="00000000" w:rsidP="00000000" w:rsidRDefault="00000000" w:rsidRPr="00000000" w14:paraId="00000116">
            <w:pPr>
              <w:spacing w:line="360" w:lineRule="auto"/>
              <w:rPr>
                <w:sz w:val="20"/>
                <w:szCs w:val="20"/>
              </w:rPr>
            </w:pPr>
            <w:r w:rsidDel="00000000" w:rsidR="00000000" w:rsidRPr="00000000">
              <w:rPr>
                <w:sz w:val="20"/>
                <w:szCs w:val="20"/>
                <w:rtl w:val="0"/>
              </w:rPr>
              <w:t xml:space="preserve">3</w:t>
            </w:r>
          </w:p>
        </w:tc>
      </w:tr>
      <w:tr>
        <w:trPr>
          <w:cantSplit w:val="0"/>
          <w:tblHeader w:val="0"/>
        </w:trPr>
        <w:tc>
          <w:tcPr/>
          <w:p w:rsidR="00000000" w:rsidDel="00000000" w:rsidP="00000000" w:rsidRDefault="00000000" w:rsidRPr="00000000" w14:paraId="00000117">
            <w:pPr>
              <w:spacing w:line="360" w:lineRule="auto"/>
              <w:rPr>
                <w:sz w:val="20"/>
                <w:szCs w:val="20"/>
              </w:rPr>
            </w:pPr>
            <w:r w:rsidDel="00000000" w:rsidR="00000000" w:rsidRPr="00000000">
              <w:rPr>
                <w:sz w:val="20"/>
                <w:szCs w:val="20"/>
                <w:rtl w:val="0"/>
              </w:rPr>
              <w:t xml:space="preserve">Plataformas de telemedicina y gestión digital</w:t>
            </w:r>
          </w:p>
        </w:tc>
        <w:tc>
          <w:tcPr/>
          <w:p w:rsidR="00000000" w:rsidDel="00000000" w:rsidP="00000000" w:rsidRDefault="00000000" w:rsidRPr="00000000" w14:paraId="00000118">
            <w:pPr>
              <w:spacing w:line="360" w:lineRule="auto"/>
              <w:rPr>
                <w:sz w:val="20"/>
                <w:szCs w:val="20"/>
              </w:rPr>
            </w:pPr>
            <w:r w:rsidDel="00000000" w:rsidR="00000000" w:rsidRPr="00000000">
              <w:rPr>
                <w:sz w:val="20"/>
                <w:szCs w:val="20"/>
                <w:rtl w:val="0"/>
              </w:rPr>
              <w:t xml:space="preserve">1</w:t>
            </w:r>
          </w:p>
        </w:tc>
      </w:tr>
      <w:tr>
        <w:trPr>
          <w:cantSplit w:val="0"/>
          <w:tblHeader w:val="0"/>
        </w:trPr>
        <w:tc>
          <w:tcPr/>
          <w:p w:rsidR="00000000" w:rsidDel="00000000" w:rsidP="00000000" w:rsidRDefault="00000000" w:rsidRPr="00000000" w14:paraId="00000119">
            <w:pPr>
              <w:spacing w:line="360" w:lineRule="auto"/>
              <w:rPr>
                <w:sz w:val="20"/>
                <w:szCs w:val="20"/>
              </w:rPr>
            </w:pPr>
            <w:r w:rsidDel="00000000" w:rsidR="00000000" w:rsidRPr="00000000">
              <w:rPr>
                <w:sz w:val="20"/>
                <w:szCs w:val="20"/>
                <w:rtl w:val="0"/>
              </w:rPr>
              <w:t xml:space="preserve">Inhaladores inteligentes y adherencia</w:t>
            </w:r>
          </w:p>
        </w:tc>
        <w:tc>
          <w:tcPr/>
          <w:p w:rsidR="00000000" w:rsidDel="00000000" w:rsidP="00000000" w:rsidRDefault="00000000" w:rsidRPr="00000000" w14:paraId="0000011A">
            <w:pPr>
              <w:spacing w:line="360" w:lineRule="auto"/>
              <w:rPr>
                <w:sz w:val="20"/>
                <w:szCs w:val="20"/>
              </w:rPr>
            </w:pPr>
            <w:r w:rsidDel="00000000" w:rsidR="00000000" w:rsidRPr="00000000">
              <w:rPr>
                <w:sz w:val="20"/>
                <w:szCs w:val="20"/>
                <w:rtl w:val="0"/>
              </w:rPr>
              <w:t xml:space="preserve">1</w:t>
            </w:r>
          </w:p>
        </w:tc>
      </w:tr>
      <w:tr>
        <w:trPr>
          <w:cantSplit w:val="0"/>
          <w:tblHeader w:val="0"/>
        </w:trPr>
        <w:tc>
          <w:tcPr/>
          <w:p w:rsidR="00000000" w:rsidDel="00000000" w:rsidP="00000000" w:rsidRDefault="00000000" w:rsidRPr="00000000" w14:paraId="0000011B">
            <w:pPr>
              <w:spacing w:line="360" w:lineRule="auto"/>
              <w:rPr>
                <w:sz w:val="20"/>
                <w:szCs w:val="20"/>
              </w:rPr>
            </w:pPr>
            <w:r w:rsidDel="00000000" w:rsidR="00000000" w:rsidRPr="00000000">
              <w:rPr>
                <w:sz w:val="20"/>
                <w:szCs w:val="20"/>
                <w:rtl w:val="0"/>
              </w:rPr>
              <w:t xml:space="preserve">Análisis de patrones respiratorios</w:t>
            </w:r>
          </w:p>
        </w:tc>
        <w:tc>
          <w:tcPr/>
          <w:p w:rsidR="00000000" w:rsidDel="00000000" w:rsidP="00000000" w:rsidRDefault="00000000" w:rsidRPr="00000000" w14:paraId="0000011C">
            <w:pPr>
              <w:spacing w:line="360" w:lineRule="auto"/>
              <w:rPr>
                <w:sz w:val="20"/>
                <w:szCs w:val="20"/>
              </w:rPr>
            </w:pPr>
            <w:r w:rsidDel="00000000" w:rsidR="00000000" w:rsidRPr="00000000">
              <w:rPr>
                <w:sz w:val="20"/>
                <w:szCs w:val="20"/>
                <w:rtl w:val="0"/>
              </w:rPr>
              <w:t xml:space="preserve">1</w:t>
            </w:r>
          </w:p>
        </w:tc>
      </w:tr>
      <w:tr>
        <w:trPr>
          <w:cantSplit w:val="0"/>
          <w:tblHeader w:val="0"/>
        </w:trPr>
        <w:tc>
          <w:tcPr/>
          <w:p w:rsidR="00000000" w:rsidDel="00000000" w:rsidP="00000000" w:rsidRDefault="00000000" w:rsidRPr="00000000" w14:paraId="0000011D">
            <w:pPr>
              <w:spacing w:line="360" w:lineRule="auto"/>
              <w:rPr>
                <w:sz w:val="20"/>
                <w:szCs w:val="20"/>
              </w:rPr>
            </w:pPr>
            <w:r w:rsidDel="00000000" w:rsidR="00000000" w:rsidRPr="00000000">
              <w:rPr>
                <w:sz w:val="20"/>
                <w:szCs w:val="20"/>
                <w:rtl w:val="0"/>
              </w:rPr>
              <w:t xml:space="preserve">Total</w:t>
            </w:r>
          </w:p>
        </w:tc>
        <w:tc>
          <w:tcPr/>
          <w:p w:rsidR="00000000" w:rsidDel="00000000" w:rsidP="00000000" w:rsidRDefault="00000000" w:rsidRPr="00000000" w14:paraId="0000011E">
            <w:pPr>
              <w:spacing w:line="360" w:lineRule="auto"/>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20">
      <w:pPr>
        <w:jc w:val="center"/>
        <w:rPr>
          <w:sz w:val="20"/>
          <w:szCs w:val="20"/>
        </w:rPr>
      </w:pPr>
      <w:r w:rsidDel="00000000" w:rsidR="00000000" w:rsidRPr="00000000">
        <w:rPr/>
        <w:drawing>
          <wp:inline distB="0" distT="0" distL="0" distR="0">
            <wp:extent cx="4716780" cy="2499360"/>
            <wp:docPr id="1997682501" name=""/>
            <a:graphic>
              <a:graphicData uri="http://schemas.openxmlformats.org/drawingml/2006/chart">
                <c:chart r:id="rId8"/>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rFonts w:ascii="Montserrat" w:cs="Montserrat" w:eastAsia="Montserrat" w:hAnsi="Montserrat"/>
          <w:b w:val="0"/>
          <w:bCs w:val="0"/>
          <w:i w:val="1"/>
          <w:iCs w:val="1"/>
          <w:smallCaps w:val="0"/>
          <w:strike w:val="0"/>
          <w:color w:val="000000"/>
          <w:sz w:val="20"/>
          <w:szCs w:val="20"/>
          <w:u w:val="none"/>
          <w:shd w:fill="auto" w:val="clear"/>
          <w:vertAlign w:val="baseline"/>
        </w:rPr>
      </w:pPr>
      <w:bookmarkStart w:colFirst="0" w:colLast="0" w:name="_heading=h.vdxb11dnmrlu" w:id="14"/>
      <w:bookmarkEnd w:id="14"/>
      <w:r w:rsidDel="00000000" w:rsidR="00000000" w:rsidRPr="00000000">
        <w:rPr>
          <w:rFonts w:ascii="Montserrat" w:cs="Montserrat" w:eastAsia="Montserrat" w:hAnsi="Montserrat"/>
          <w:b w:val="0"/>
          <w:bCs w:val="0"/>
          <w:i w:val="1"/>
          <w:iCs w:val="1"/>
          <w:smallCaps w:val="0"/>
          <w:strike w:val="0"/>
          <w:color w:val="000000"/>
          <w:sz w:val="20"/>
          <w:szCs w:val="20"/>
          <w:u w:val="none"/>
          <w:shd w:fill="auto" w:val="clear"/>
          <w:vertAlign w:val="baseline"/>
          <w:rtl w:val="0"/>
        </w:rPr>
        <w:t xml:space="preserve">Figura 1. Patentes por clasificación</w:t>
      </w:r>
    </w:p>
    <w:p w:rsidR="00000000" w:rsidDel="00000000" w:rsidP="00000000" w:rsidRDefault="00000000" w:rsidRPr="00000000" w14:paraId="00000122">
      <w:pPr>
        <w:pStyle w:val="Heading2"/>
        <w:rPr/>
      </w:pPr>
      <w:r w:rsidDel="00000000" w:rsidR="00000000" w:rsidRPr="00000000">
        <w:rPr>
          <w:rtl w:val="0"/>
        </w:rPr>
      </w:r>
    </w:p>
    <w:p w:rsidR="00000000" w:rsidDel="00000000" w:rsidP="00000000" w:rsidRDefault="00000000" w:rsidRPr="00000000" w14:paraId="00000123">
      <w:pPr>
        <w:pStyle w:val="Heading2"/>
        <w:rPr/>
      </w:pPr>
      <w:r w:rsidDel="00000000" w:rsidR="00000000" w:rsidRPr="00000000">
        <w:rPr>
          <w:rtl w:val="0"/>
        </w:rPr>
      </w:r>
    </w:p>
    <w:p w:rsidR="00000000" w:rsidDel="00000000" w:rsidP="00000000" w:rsidRDefault="00000000" w:rsidRPr="00000000" w14:paraId="00000124">
      <w:pPr>
        <w:pStyle w:val="Heading2"/>
        <w:rPr/>
      </w:pPr>
      <w:bookmarkStart w:colFirst="0" w:colLast="0" w:name="_heading=h.dmo2u7sgvj1o" w:id="15"/>
      <w:bookmarkEnd w:id="15"/>
      <w:r w:rsidDel="00000000" w:rsidR="00000000" w:rsidRPr="00000000">
        <w:rPr>
          <w:rtl w:val="0"/>
        </w:rPr>
        <w:t xml:space="preserve">2.4 Alcance de las patentes</w:t>
      </w:r>
    </w:p>
    <w:p w:rsidR="00000000" w:rsidDel="00000000" w:rsidP="00000000" w:rsidRDefault="00000000" w:rsidRPr="00000000" w14:paraId="00000125">
      <w:pPr>
        <w:jc w:val="both"/>
        <w:rPr>
          <w:sz w:val="20"/>
          <w:szCs w:val="20"/>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El análisis geográfico de las 10 patentes identificadas revela que Estados Unidos lidera el número de registros con 4 patentes (40%), consolidándose como el principal mercado de innovación en tecnologías digitales para el manejo del asma. Le siguen las solicitudes internacionales mediante el sistema PCT (WIPO) con 1 patente (10%) y los países miembros de la Unión Europea con 2 patentes (20%), lo que indica una estrategia de protección intelectual orientada a mercados estratégicos de alta regulación sanitaria. China, Japón y Corea del Sur contribuyen con 1 patente cada uno (10% respectivamente), reflejando el creciente interés de las economías asiáticas en tecnologías mHealth y dispositivos médicos inteligentes. En cuanto al periodo de registro, el 80% de las patentes fueron publicadas entre 2021 y 2023, lo que confirma que la actividad inventiva en este campo se ha intensificado en los últimos años, impulsada por la pandemia de COVID-19 y el crecimiento acelerado de la telesalud. La Tabla 4 presenta la distribución por país.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28">
      <w:pPr>
        <w:spacing w:after="100" w:lineRule="auto"/>
        <w:jc w:val="center"/>
        <w:rPr>
          <w:sz w:val="20"/>
          <w:szCs w:val="20"/>
        </w:rPr>
      </w:pPr>
      <w:bookmarkStart w:colFirst="0" w:colLast="0" w:name="_heading=h.2e3yhk27yux0" w:id="16"/>
      <w:bookmarkEnd w:id="16"/>
      <w:r w:rsidDel="00000000" w:rsidR="00000000" w:rsidRPr="00000000">
        <w:rPr>
          <w:b w:val="1"/>
          <w:bCs w:val="1"/>
          <w:sz w:val="20"/>
          <w:szCs w:val="20"/>
          <w:rtl w:val="0"/>
        </w:rPr>
        <w:t xml:space="preserve">Tabla  4.</w:t>
      </w:r>
      <w:r w:rsidDel="00000000" w:rsidR="00000000" w:rsidRPr="00000000">
        <w:rPr>
          <w:sz w:val="20"/>
          <w:szCs w:val="20"/>
          <w:rtl w:val="0"/>
        </w:rPr>
        <w:t xml:space="preserve"> Análisis de las patentes por clasificación.</w:t>
      </w:r>
    </w:p>
    <w:tbl>
      <w:tblPr>
        <w:tblStyle w:val="Table4"/>
        <w:tblpPr w:leftFromText="180" w:rightFromText="180" w:topFromText="0" w:bottomFromText="0" w:vertAnchor="text" w:horzAnchor="text" w:tblpX="0" w:tblpY="247"/>
        <w:tblW w:w="9054.0" w:type="dxa"/>
        <w:jc w:val="left"/>
        <w:tblInd w:w="-108.0" w:type="dxa"/>
        <w:tblBorders>
          <w:top w:color="a8d08d" w:space="0" w:sz="4" w:val="single"/>
          <w:left w:color="a8d08d" w:space="0" w:sz="4" w:val="single"/>
          <w:bottom w:color="a8d08d" w:space="0" w:sz="4" w:val="single"/>
          <w:right w:color="a8d08d" w:space="0" w:sz="4" w:val="single"/>
          <w:insideH w:color="a8d08d" w:space="0" w:sz="4" w:val="single"/>
        </w:tblBorders>
        <w:tblLayout w:type="fixed"/>
        <w:tblLook w:val="04A0"/>
      </w:tblPr>
      <w:tblGrid>
        <w:gridCol w:w="5099"/>
        <w:gridCol w:w="3955"/>
        <w:tblGridChange w:id="0">
          <w:tblGrid>
            <w:gridCol w:w="5099"/>
            <w:gridCol w:w="3955"/>
          </w:tblGrid>
        </w:tblGridChange>
      </w:tblGrid>
      <w:tr>
        <w:trPr>
          <w:cantSplit w:val="0"/>
          <w:tblHeader w:val="0"/>
        </w:trPr>
        <w:tc>
          <w:tcPr>
            <w:vAlign w:val="center"/>
          </w:tcPr>
          <w:p w:rsidR="00000000" w:rsidDel="00000000" w:rsidP="00000000" w:rsidRDefault="00000000" w:rsidRPr="00000000" w14:paraId="00000129">
            <w:pPr>
              <w:jc w:val="center"/>
              <w:rPr>
                <w:sz w:val="20"/>
                <w:szCs w:val="20"/>
                <w:highlight w:val="yellow"/>
              </w:rPr>
            </w:pPr>
            <w:r w:rsidDel="00000000" w:rsidR="00000000" w:rsidRPr="00000000">
              <w:rPr>
                <w:sz w:val="20"/>
                <w:szCs w:val="20"/>
                <w:rtl w:val="0"/>
              </w:rPr>
              <w:t xml:space="preserve">País</w:t>
            </w:r>
            <w:r w:rsidDel="00000000" w:rsidR="00000000" w:rsidRPr="00000000">
              <w:rPr>
                <w:rtl w:val="0"/>
              </w:rPr>
            </w:r>
          </w:p>
        </w:tc>
        <w:tc>
          <w:tcPr>
            <w:vAlign w:val="center"/>
          </w:tcPr>
          <w:p w:rsidR="00000000" w:rsidDel="00000000" w:rsidP="00000000" w:rsidRDefault="00000000" w:rsidRPr="00000000" w14:paraId="0000012A">
            <w:pPr>
              <w:jc w:val="center"/>
              <w:rPr>
                <w:sz w:val="20"/>
                <w:szCs w:val="20"/>
              </w:rPr>
            </w:pPr>
            <w:r w:rsidDel="00000000" w:rsidR="00000000" w:rsidRPr="00000000">
              <w:rPr>
                <w:sz w:val="20"/>
                <w:szCs w:val="20"/>
                <w:rtl w:val="0"/>
              </w:rPr>
              <w:t xml:space="preserve">No Patentes</w:t>
            </w:r>
          </w:p>
        </w:tc>
      </w:tr>
      <w:tr>
        <w:trPr>
          <w:cantSplit w:val="0"/>
          <w:tblHeader w:val="0"/>
        </w:trPr>
        <w:tc>
          <w:tcPr/>
          <w:p w:rsidR="00000000" w:rsidDel="00000000" w:rsidP="00000000" w:rsidRDefault="00000000" w:rsidRPr="00000000" w14:paraId="0000012B">
            <w:pPr>
              <w:rPr>
                <w:sz w:val="20"/>
                <w:szCs w:val="20"/>
              </w:rPr>
            </w:pPr>
            <w:r w:rsidDel="00000000" w:rsidR="00000000" w:rsidRPr="00000000">
              <w:rPr>
                <w:sz w:val="20"/>
                <w:szCs w:val="20"/>
                <w:rtl w:val="0"/>
              </w:rPr>
              <w:t xml:space="preserve">Estados Unidos</w:t>
            </w:r>
          </w:p>
        </w:tc>
        <w:tc>
          <w:tcPr/>
          <w:p w:rsidR="00000000" w:rsidDel="00000000" w:rsidP="00000000" w:rsidRDefault="00000000" w:rsidRPr="00000000" w14:paraId="0000012C">
            <w:pPr>
              <w:jc w:val="center"/>
              <w:rPr>
                <w:sz w:val="20"/>
                <w:szCs w:val="20"/>
              </w:rPr>
            </w:pPr>
            <w:r w:rsidDel="00000000" w:rsidR="00000000" w:rsidRPr="00000000">
              <w:rPr>
                <w:sz w:val="20"/>
                <w:szCs w:val="20"/>
                <w:rtl w:val="0"/>
              </w:rPr>
              <w:t xml:space="preserve">4</w:t>
            </w:r>
          </w:p>
        </w:tc>
      </w:tr>
      <w:tr>
        <w:trPr>
          <w:cantSplit w:val="0"/>
          <w:tblHeader w:val="0"/>
        </w:trPr>
        <w:tc>
          <w:tcPr/>
          <w:p w:rsidR="00000000" w:rsidDel="00000000" w:rsidP="00000000" w:rsidRDefault="00000000" w:rsidRPr="00000000" w14:paraId="0000012D">
            <w:pPr>
              <w:spacing w:line="360" w:lineRule="auto"/>
              <w:rPr>
                <w:sz w:val="20"/>
                <w:szCs w:val="20"/>
              </w:rPr>
            </w:pPr>
            <w:r w:rsidDel="00000000" w:rsidR="00000000" w:rsidRPr="00000000">
              <w:rPr>
                <w:sz w:val="20"/>
                <w:szCs w:val="20"/>
                <w:rtl w:val="0"/>
              </w:rPr>
              <w:t xml:space="preserve">Internacional (PCT)</w:t>
            </w:r>
          </w:p>
        </w:tc>
        <w:tc>
          <w:tcPr/>
          <w:p w:rsidR="00000000" w:rsidDel="00000000" w:rsidP="00000000" w:rsidRDefault="00000000" w:rsidRPr="00000000" w14:paraId="0000012E">
            <w:pPr>
              <w:spacing w:line="360" w:lineRule="auto"/>
              <w:jc w:val="center"/>
              <w:rPr>
                <w:sz w:val="20"/>
                <w:szCs w:val="20"/>
              </w:rPr>
            </w:pPr>
            <w:r w:rsidDel="00000000" w:rsidR="00000000" w:rsidRPr="00000000">
              <w:rPr>
                <w:sz w:val="20"/>
                <w:szCs w:val="20"/>
                <w:rtl w:val="0"/>
              </w:rPr>
              <w:t xml:space="preserve">2</w:t>
            </w:r>
          </w:p>
        </w:tc>
      </w:tr>
      <w:tr>
        <w:trPr>
          <w:cantSplit w:val="0"/>
          <w:tblHeader w:val="0"/>
        </w:trPr>
        <w:tc>
          <w:tcPr/>
          <w:p w:rsidR="00000000" w:rsidDel="00000000" w:rsidP="00000000" w:rsidRDefault="00000000" w:rsidRPr="00000000" w14:paraId="0000012F">
            <w:pPr>
              <w:spacing w:line="360" w:lineRule="auto"/>
              <w:rPr>
                <w:sz w:val="20"/>
                <w:szCs w:val="20"/>
              </w:rPr>
            </w:pPr>
            <w:r w:rsidDel="00000000" w:rsidR="00000000" w:rsidRPr="00000000">
              <w:rPr>
                <w:sz w:val="20"/>
                <w:szCs w:val="20"/>
                <w:rtl w:val="0"/>
              </w:rPr>
              <w:t xml:space="preserve">Unión Europea</w:t>
            </w:r>
          </w:p>
        </w:tc>
        <w:tc>
          <w:tcPr/>
          <w:p w:rsidR="00000000" w:rsidDel="00000000" w:rsidP="00000000" w:rsidRDefault="00000000" w:rsidRPr="00000000" w14:paraId="00000130">
            <w:pPr>
              <w:spacing w:line="360" w:lineRule="auto"/>
              <w:jc w:val="center"/>
              <w:rPr>
                <w:sz w:val="20"/>
                <w:szCs w:val="20"/>
              </w:rPr>
            </w:pPr>
            <w:r w:rsidDel="00000000" w:rsidR="00000000" w:rsidRPr="00000000">
              <w:rPr>
                <w:sz w:val="20"/>
                <w:szCs w:val="20"/>
                <w:rtl w:val="0"/>
              </w:rPr>
              <w:t xml:space="preserve">1</w:t>
            </w:r>
          </w:p>
        </w:tc>
      </w:tr>
      <w:tr>
        <w:trPr>
          <w:cantSplit w:val="0"/>
          <w:tblHeader w:val="0"/>
        </w:trPr>
        <w:tc>
          <w:tcPr/>
          <w:p w:rsidR="00000000" w:rsidDel="00000000" w:rsidP="00000000" w:rsidRDefault="00000000" w:rsidRPr="00000000" w14:paraId="00000131">
            <w:pPr>
              <w:spacing w:line="360" w:lineRule="auto"/>
              <w:rPr>
                <w:sz w:val="20"/>
                <w:szCs w:val="20"/>
              </w:rPr>
            </w:pPr>
            <w:r w:rsidDel="00000000" w:rsidR="00000000" w:rsidRPr="00000000">
              <w:rPr>
                <w:sz w:val="20"/>
                <w:szCs w:val="20"/>
                <w:rtl w:val="0"/>
              </w:rPr>
              <w:t xml:space="preserve">China</w:t>
            </w:r>
          </w:p>
        </w:tc>
        <w:tc>
          <w:tcPr/>
          <w:p w:rsidR="00000000" w:rsidDel="00000000" w:rsidP="00000000" w:rsidRDefault="00000000" w:rsidRPr="00000000" w14:paraId="00000132">
            <w:pPr>
              <w:spacing w:line="360" w:lineRule="auto"/>
              <w:jc w:val="center"/>
              <w:rPr>
                <w:sz w:val="20"/>
                <w:szCs w:val="20"/>
              </w:rPr>
            </w:pPr>
            <w:r w:rsidDel="00000000" w:rsidR="00000000" w:rsidRPr="00000000">
              <w:rPr>
                <w:sz w:val="20"/>
                <w:szCs w:val="20"/>
                <w:rtl w:val="0"/>
              </w:rPr>
              <w:t xml:space="preserve">1</w:t>
            </w:r>
          </w:p>
        </w:tc>
      </w:tr>
      <w:tr>
        <w:trPr>
          <w:cantSplit w:val="0"/>
          <w:tblHeader w:val="0"/>
        </w:trPr>
        <w:tc>
          <w:tcPr/>
          <w:p w:rsidR="00000000" w:rsidDel="00000000" w:rsidP="00000000" w:rsidRDefault="00000000" w:rsidRPr="00000000" w14:paraId="00000133">
            <w:pPr>
              <w:spacing w:line="360" w:lineRule="auto"/>
              <w:rPr>
                <w:sz w:val="20"/>
                <w:szCs w:val="20"/>
              </w:rPr>
            </w:pPr>
            <w:r w:rsidDel="00000000" w:rsidR="00000000" w:rsidRPr="00000000">
              <w:rPr>
                <w:sz w:val="20"/>
                <w:szCs w:val="20"/>
                <w:rtl w:val="0"/>
              </w:rPr>
              <w:t xml:space="preserve">Japón</w:t>
            </w:r>
          </w:p>
        </w:tc>
        <w:tc>
          <w:tcPr/>
          <w:p w:rsidR="00000000" w:rsidDel="00000000" w:rsidP="00000000" w:rsidRDefault="00000000" w:rsidRPr="00000000" w14:paraId="00000134">
            <w:pPr>
              <w:spacing w:line="360" w:lineRule="auto"/>
              <w:jc w:val="center"/>
              <w:rPr>
                <w:sz w:val="20"/>
                <w:szCs w:val="20"/>
              </w:rPr>
            </w:pPr>
            <w:r w:rsidDel="00000000" w:rsidR="00000000" w:rsidRPr="00000000">
              <w:rPr>
                <w:sz w:val="20"/>
                <w:szCs w:val="20"/>
                <w:rtl w:val="0"/>
              </w:rPr>
              <w:t xml:space="preserve">1</w:t>
            </w:r>
          </w:p>
        </w:tc>
      </w:tr>
      <w:tr>
        <w:trPr>
          <w:cantSplit w:val="0"/>
          <w:tblHeader w:val="0"/>
        </w:trPr>
        <w:tc>
          <w:tcPr/>
          <w:p w:rsidR="00000000" w:rsidDel="00000000" w:rsidP="00000000" w:rsidRDefault="00000000" w:rsidRPr="00000000" w14:paraId="00000135">
            <w:pPr>
              <w:spacing w:line="360" w:lineRule="auto"/>
              <w:rPr>
                <w:sz w:val="20"/>
                <w:szCs w:val="20"/>
              </w:rPr>
            </w:pPr>
            <w:r w:rsidDel="00000000" w:rsidR="00000000" w:rsidRPr="00000000">
              <w:rPr>
                <w:sz w:val="20"/>
                <w:szCs w:val="20"/>
                <w:rtl w:val="0"/>
              </w:rPr>
              <w:t xml:space="preserve">Corea del Sur</w:t>
            </w:r>
          </w:p>
        </w:tc>
        <w:tc>
          <w:tcPr/>
          <w:p w:rsidR="00000000" w:rsidDel="00000000" w:rsidP="00000000" w:rsidRDefault="00000000" w:rsidRPr="00000000" w14:paraId="00000136">
            <w:pPr>
              <w:spacing w:line="360" w:lineRule="auto"/>
              <w:jc w:val="center"/>
              <w:rPr>
                <w:sz w:val="20"/>
                <w:szCs w:val="20"/>
              </w:rPr>
            </w:pPr>
            <w:r w:rsidDel="00000000" w:rsidR="00000000" w:rsidRPr="00000000">
              <w:rPr>
                <w:sz w:val="20"/>
                <w:szCs w:val="20"/>
                <w:rtl w:val="0"/>
              </w:rPr>
              <w:t xml:space="preserve">1</w:t>
            </w:r>
          </w:p>
        </w:tc>
      </w:tr>
      <w:tr>
        <w:trPr>
          <w:cantSplit w:val="0"/>
          <w:tblHeader w:val="0"/>
        </w:trPr>
        <w:tc>
          <w:tcPr/>
          <w:p w:rsidR="00000000" w:rsidDel="00000000" w:rsidP="00000000" w:rsidRDefault="00000000" w:rsidRPr="00000000" w14:paraId="00000137">
            <w:pPr>
              <w:spacing w:line="360" w:lineRule="auto"/>
              <w:rPr>
                <w:sz w:val="20"/>
                <w:szCs w:val="20"/>
              </w:rPr>
            </w:pPr>
            <w:r w:rsidDel="00000000" w:rsidR="00000000" w:rsidRPr="00000000">
              <w:rPr>
                <w:sz w:val="20"/>
                <w:szCs w:val="20"/>
                <w:rtl w:val="0"/>
              </w:rPr>
              <w:t xml:space="preserve">Total</w:t>
            </w:r>
          </w:p>
        </w:tc>
        <w:tc>
          <w:tcPr/>
          <w:p w:rsidR="00000000" w:rsidDel="00000000" w:rsidP="00000000" w:rsidRDefault="00000000" w:rsidRPr="00000000" w14:paraId="00000138">
            <w:pPr>
              <w:spacing w:line="360" w:lineRule="auto"/>
              <w:jc w:val="center"/>
              <w:rPr>
                <w:sz w:val="20"/>
                <w:szCs w:val="20"/>
              </w:rPr>
            </w:pPr>
            <w:r w:rsidDel="00000000" w:rsidR="00000000" w:rsidRPr="00000000">
              <w:rPr>
                <w:b w:val="1"/>
                <w:bCs w:val="1"/>
                <w:sz w:val="20"/>
                <w:szCs w:val="20"/>
                <w:rtl w:val="0"/>
              </w:rPr>
              <w:t xml:space="preserve">10</w:t>
            </w:r>
            <w:r w:rsidDel="00000000" w:rsidR="00000000" w:rsidRPr="00000000">
              <w:rPr>
                <w:rtl w:val="0"/>
              </w:rPr>
            </w:r>
          </w:p>
        </w:tc>
      </w:tr>
    </w:tbl>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ab/>
        <w:tab/>
        <w:tab/>
        <w:tab/>
        <w:tab/>
        <w:tab/>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6"/>
          <w:szCs w:val="16"/>
          <w:u w:val="none"/>
          <w:shd w:fill="auto" w:val="clear"/>
          <w:vertAlign w:val="baseline"/>
          <w:rtl w:val="0"/>
        </w:rPr>
        <w:tab/>
      </w:r>
    </w:p>
    <w:p w:rsidR="00000000" w:rsidDel="00000000" w:rsidP="00000000" w:rsidRDefault="00000000" w:rsidRPr="00000000" w14:paraId="0000013B">
      <w:pPr>
        <w:jc w:val="center"/>
        <w:rPr>
          <w:sz w:val="20"/>
          <w:szCs w:val="20"/>
        </w:rPr>
      </w:pPr>
      <w:r w:rsidDel="00000000" w:rsidR="00000000" w:rsidRPr="00000000">
        <w:rPr>
          <w:sz w:val="20"/>
          <w:szCs w:val="20"/>
        </w:rPr>
        <w:drawing>
          <wp:inline distB="0" distT="0" distL="0" distR="0">
            <wp:extent cx="5486400" cy="3200400"/>
            <wp:docPr id="1997682500" name=""/>
            <a:graphic>
              <a:graphicData uri="http://schemas.openxmlformats.org/drawingml/2006/chart">
                <c:chart r:id="rId9"/>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rFonts w:ascii="Montserrat" w:cs="Montserrat" w:eastAsia="Montserrat" w:hAnsi="Montserrat"/>
          <w:b w:val="0"/>
          <w:bCs w:val="0"/>
          <w:i w:val="1"/>
          <w:iCs w:val="1"/>
          <w:smallCaps w:val="0"/>
          <w:strike w:val="0"/>
          <w:color w:val="000000"/>
          <w:sz w:val="20"/>
          <w:szCs w:val="20"/>
          <w:u w:val="none"/>
          <w:shd w:fill="auto" w:val="clear"/>
          <w:vertAlign w:val="baseline"/>
        </w:rPr>
      </w:pPr>
      <w:bookmarkStart w:colFirst="0" w:colLast="0" w:name="_heading=h.j6fuw3g5x2qf" w:id="17"/>
      <w:bookmarkEnd w:id="17"/>
      <w:r w:rsidDel="00000000" w:rsidR="00000000" w:rsidRPr="00000000">
        <w:rPr>
          <w:rFonts w:ascii="Montserrat" w:cs="Montserrat" w:eastAsia="Montserrat" w:hAnsi="Montserrat"/>
          <w:b w:val="0"/>
          <w:bCs w:val="0"/>
          <w:i w:val="1"/>
          <w:iCs w:val="1"/>
          <w:smallCaps w:val="0"/>
          <w:strike w:val="0"/>
          <w:color w:val="000000"/>
          <w:sz w:val="20"/>
          <w:szCs w:val="20"/>
          <w:u w:val="none"/>
          <w:shd w:fill="auto" w:val="clear"/>
          <w:vertAlign w:val="baseline"/>
          <w:rtl w:val="0"/>
        </w:rPr>
        <w:t xml:space="preserve">Figura 2. Patentes por país de registro.</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Respecto al estatus de las patentes, 8 de las 10 (80%) se encuentran activas y vigentes, lo que indica protección legal efectiva sobre las tecnologías identificadas. Una patente (10%) se encuentra en estado pendiente de concesión, mientras que una (10%) fue abandonada por el solicitante. Ninguna patente identificada se encuentra en estado descontinuado, lo que subraya la vigencia e importancia comercial de estas tecnologías en el mercado actual. La Tabla 5 y la Figura 3 presentan el análisis por estatus.</w:t>
      </w:r>
    </w:p>
    <w:p w:rsidR="00000000" w:rsidDel="00000000" w:rsidP="00000000" w:rsidRDefault="00000000" w:rsidRPr="00000000" w14:paraId="0000013F">
      <w:pPr>
        <w:spacing w:after="100" w:lineRule="auto"/>
        <w:jc w:val="center"/>
        <w:rPr>
          <w:sz w:val="20"/>
          <w:szCs w:val="20"/>
        </w:rPr>
      </w:pPr>
      <w:bookmarkStart w:colFirst="0" w:colLast="0" w:name="_heading=h.2901urczgxxh" w:id="18"/>
      <w:bookmarkEnd w:id="18"/>
      <w:r w:rsidDel="00000000" w:rsidR="00000000" w:rsidRPr="00000000">
        <w:rPr>
          <w:b w:val="1"/>
          <w:bCs w:val="1"/>
          <w:sz w:val="20"/>
          <w:szCs w:val="20"/>
          <w:rtl w:val="0"/>
        </w:rPr>
        <w:t xml:space="preserve">Tabla  5.</w:t>
      </w:r>
      <w:r w:rsidDel="00000000" w:rsidR="00000000" w:rsidRPr="00000000">
        <w:rPr>
          <w:sz w:val="20"/>
          <w:szCs w:val="20"/>
          <w:rtl w:val="0"/>
        </w:rPr>
        <w:t xml:space="preserve"> Análisis de las patentes por estatus.</w:t>
      </w:r>
    </w:p>
    <w:tbl>
      <w:tblPr>
        <w:tblStyle w:val="Table5"/>
        <w:tblpPr w:leftFromText="180" w:rightFromText="180" w:topFromText="0" w:bottomFromText="0" w:vertAnchor="text" w:horzAnchor="text" w:tblpX="0" w:tblpY="247"/>
        <w:tblW w:w="9054.0" w:type="dxa"/>
        <w:jc w:val="left"/>
        <w:tblInd w:w="-108.0" w:type="dxa"/>
        <w:tblBorders>
          <w:top w:color="a8d08d" w:space="0" w:sz="4" w:val="single"/>
          <w:left w:color="a8d08d" w:space="0" w:sz="4" w:val="single"/>
          <w:bottom w:color="a8d08d" w:space="0" w:sz="4" w:val="single"/>
          <w:right w:color="a8d08d" w:space="0" w:sz="4" w:val="single"/>
          <w:insideH w:color="a8d08d" w:space="0" w:sz="4" w:val="single"/>
        </w:tblBorders>
        <w:tblLayout w:type="fixed"/>
        <w:tblLook w:val="04A0"/>
      </w:tblPr>
      <w:tblGrid>
        <w:gridCol w:w="5099"/>
        <w:gridCol w:w="3955"/>
        <w:tblGridChange w:id="0">
          <w:tblGrid>
            <w:gridCol w:w="5099"/>
            <w:gridCol w:w="3955"/>
          </w:tblGrid>
        </w:tblGridChange>
      </w:tblGrid>
      <w:tr>
        <w:trPr>
          <w:cantSplit w:val="0"/>
          <w:tblHeader w:val="0"/>
        </w:trPr>
        <w:tc>
          <w:tcPr>
            <w:vAlign w:val="center"/>
          </w:tcPr>
          <w:p w:rsidR="00000000" w:rsidDel="00000000" w:rsidP="00000000" w:rsidRDefault="00000000" w:rsidRPr="00000000" w14:paraId="00000140">
            <w:pPr>
              <w:jc w:val="center"/>
              <w:rPr>
                <w:sz w:val="20"/>
                <w:szCs w:val="20"/>
                <w:highlight w:val="yellow"/>
              </w:rPr>
            </w:pPr>
            <w:r w:rsidDel="00000000" w:rsidR="00000000" w:rsidRPr="00000000">
              <w:rPr>
                <w:sz w:val="20"/>
                <w:szCs w:val="20"/>
                <w:rtl w:val="0"/>
              </w:rPr>
              <w:t xml:space="preserve">Estatus</w:t>
            </w:r>
            <w:r w:rsidDel="00000000" w:rsidR="00000000" w:rsidRPr="00000000">
              <w:rPr>
                <w:rtl w:val="0"/>
              </w:rPr>
            </w:r>
          </w:p>
        </w:tc>
        <w:tc>
          <w:tcPr>
            <w:vAlign w:val="center"/>
          </w:tcPr>
          <w:p w:rsidR="00000000" w:rsidDel="00000000" w:rsidP="00000000" w:rsidRDefault="00000000" w:rsidRPr="00000000" w14:paraId="00000141">
            <w:pPr>
              <w:jc w:val="center"/>
              <w:rPr>
                <w:sz w:val="20"/>
                <w:szCs w:val="20"/>
              </w:rPr>
            </w:pPr>
            <w:r w:rsidDel="00000000" w:rsidR="00000000" w:rsidRPr="00000000">
              <w:rPr>
                <w:sz w:val="20"/>
                <w:szCs w:val="20"/>
                <w:rtl w:val="0"/>
              </w:rPr>
              <w:t xml:space="preserve">No Patentes</w:t>
            </w:r>
          </w:p>
        </w:tc>
      </w:tr>
      <w:tr>
        <w:trPr>
          <w:cantSplit w:val="0"/>
          <w:tblHeader w:val="0"/>
        </w:trPr>
        <w:tc>
          <w:tcPr/>
          <w:p w:rsidR="00000000" w:rsidDel="00000000" w:rsidP="00000000" w:rsidRDefault="00000000" w:rsidRPr="00000000" w14:paraId="00000142">
            <w:pPr>
              <w:rPr>
                <w:sz w:val="20"/>
                <w:szCs w:val="20"/>
              </w:rPr>
            </w:pPr>
            <w:r w:rsidDel="00000000" w:rsidR="00000000" w:rsidRPr="00000000">
              <w:rPr>
                <w:sz w:val="20"/>
                <w:szCs w:val="20"/>
                <w:rtl w:val="0"/>
              </w:rPr>
              <w:t xml:space="preserve">Abandonada</w:t>
            </w:r>
          </w:p>
        </w:tc>
        <w:tc>
          <w:tcPr/>
          <w:p w:rsidR="00000000" w:rsidDel="00000000" w:rsidP="00000000" w:rsidRDefault="00000000" w:rsidRPr="00000000" w14:paraId="00000143">
            <w:pPr>
              <w:jc w:val="center"/>
              <w:rPr>
                <w:sz w:val="20"/>
                <w:szCs w:val="20"/>
              </w:rPr>
            </w:pPr>
            <w:r w:rsidDel="00000000" w:rsidR="00000000" w:rsidRPr="00000000">
              <w:rPr>
                <w:sz w:val="20"/>
                <w:szCs w:val="20"/>
                <w:rtl w:val="0"/>
              </w:rPr>
              <w:t xml:space="preserve">1</w:t>
            </w:r>
          </w:p>
        </w:tc>
      </w:tr>
      <w:tr>
        <w:trPr>
          <w:cantSplit w:val="0"/>
          <w:tblHeader w:val="0"/>
        </w:trPr>
        <w:tc>
          <w:tcPr/>
          <w:p w:rsidR="00000000" w:rsidDel="00000000" w:rsidP="00000000" w:rsidRDefault="00000000" w:rsidRPr="00000000" w14:paraId="00000144">
            <w:pPr>
              <w:spacing w:line="360" w:lineRule="auto"/>
              <w:rPr>
                <w:sz w:val="20"/>
                <w:szCs w:val="20"/>
              </w:rPr>
            </w:pPr>
            <w:r w:rsidDel="00000000" w:rsidR="00000000" w:rsidRPr="00000000">
              <w:rPr>
                <w:sz w:val="20"/>
                <w:szCs w:val="20"/>
                <w:rtl w:val="0"/>
              </w:rPr>
              <w:t xml:space="preserve">Activa</w:t>
            </w:r>
          </w:p>
        </w:tc>
        <w:tc>
          <w:tcPr/>
          <w:p w:rsidR="00000000" w:rsidDel="00000000" w:rsidP="00000000" w:rsidRDefault="00000000" w:rsidRPr="00000000" w14:paraId="00000145">
            <w:pPr>
              <w:spacing w:line="360" w:lineRule="auto"/>
              <w:jc w:val="center"/>
              <w:rPr>
                <w:sz w:val="20"/>
                <w:szCs w:val="20"/>
              </w:rPr>
            </w:pPr>
            <w:r w:rsidDel="00000000" w:rsidR="00000000" w:rsidRPr="00000000">
              <w:rPr>
                <w:sz w:val="20"/>
                <w:szCs w:val="20"/>
                <w:rtl w:val="0"/>
              </w:rPr>
              <w:t xml:space="preserve">8</w:t>
            </w:r>
          </w:p>
        </w:tc>
      </w:tr>
      <w:tr>
        <w:trPr>
          <w:cantSplit w:val="0"/>
          <w:tblHeader w:val="0"/>
        </w:trPr>
        <w:tc>
          <w:tcPr/>
          <w:p w:rsidR="00000000" w:rsidDel="00000000" w:rsidP="00000000" w:rsidRDefault="00000000" w:rsidRPr="00000000" w14:paraId="00000146">
            <w:pPr>
              <w:spacing w:line="360" w:lineRule="auto"/>
              <w:rPr>
                <w:sz w:val="20"/>
                <w:szCs w:val="20"/>
              </w:rPr>
            </w:pPr>
            <w:r w:rsidDel="00000000" w:rsidR="00000000" w:rsidRPr="00000000">
              <w:rPr>
                <w:sz w:val="20"/>
                <w:szCs w:val="20"/>
                <w:rtl w:val="0"/>
              </w:rPr>
              <w:t xml:space="preserve">Descontinuada</w:t>
            </w:r>
          </w:p>
        </w:tc>
        <w:tc>
          <w:tcPr/>
          <w:p w:rsidR="00000000" w:rsidDel="00000000" w:rsidP="00000000" w:rsidRDefault="00000000" w:rsidRPr="00000000" w14:paraId="00000147">
            <w:pPr>
              <w:spacing w:line="360" w:lineRule="auto"/>
              <w:jc w:val="center"/>
              <w:rPr>
                <w:sz w:val="20"/>
                <w:szCs w:val="20"/>
              </w:rPr>
            </w:pPr>
            <w:r w:rsidDel="00000000" w:rsidR="00000000" w:rsidRPr="00000000">
              <w:rPr>
                <w:sz w:val="20"/>
                <w:szCs w:val="20"/>
                <w:rtl w:val="0"/>
              </w:rPr>
              <w:t xml:space="preserve">0</w:t>
            </w:r>
          </w:p>
        </w:tc>
      </w:tr>
      <w:tr>
        <w:trPr>
          <w:cantSplit w:val="0"/>
          <w:tblHeader w:val="0"/>
        </w:trPr>
        <w:tc>
          <w:tcPr/>
          <w:p w:rsidR="00000000" w:rsidDel="00000000" w:rsidP="00000000" w:rsidRDefault="00000000" w:rsidRPr="00000000" w14:paraId="00000148">
            <w:pPr>
              <w:spacing w:line="360" w:lineRule="auto"/>
              <w:rPr>
                <w:sz w:val="20"/>
                <w:szCs w:val="20"/>
              </w:rPr>
            </w:pPr>
            <w:r w:rsidDel="00000000" w:rsidR="00000000" w:rsidRPr="00000000">
              <w:rPr>
                <w:sz w:val="20"/>
                <w:szCs w:val="20"/>
                <w:rtl w:val="0"/>
              </w:rPr>
              <w:t xml:space="preserve">Pendiente</w:t>
            </w:r>
          </w:p>
        </w:tc>
        <w:tc>
          <w:tcPr/>
          <w:p w:rsidR="00000000" w:rsidDel="00000000" w:rsidP="00000000" w:rsidRDefault="00000000" w:rsidRPr="00000000" w14:paraId="00000149">
            <w:pPr>
              <w:spacing w:line="360" w:lineRule="auto"/>
              <w:jc w:val="center"/>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B">
      <w:pPr>
        <w:jc w:val="center"/>
        <w:rPr>
          <w:sz w:val="20"/>
          <w:szCs w:val="20"/>
        </w:rPr>
      </w:pPr>
      <w:r w:rsidDel="00000000" w:rsidR="00000000" w:rsidRPr="00000000">
        <w:rPr>
          <w:sz w:val="20"/>
          <w:szCs w:val="20"/>
        </w:rPr>
        <w:drawing>
          <wp:inline distB="0" distT="0" distL="0" distR="0">
            <wp:extent cx="5486400" cy="3200400"/>
            <wp:docPr id="1997682502" name=""/>
            <a:graphic>
              <a:graphicData uri="http://schemas.openxmlformats.org/drawingml/2006/chart">
                <c:chart r:id="rId10"/>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0"/>
        <w:jc w:val="center"/>
        <w:rPr>
          <w:rFonts w:ascii="Montserrat" w:cs="Montserrat" w:eastAsia="Montserrat" w:hAnsi="Montserrat"/>
          <w:b w:val="0"/>
          <w:bCs w:val="0"/>
          <w:i w:val="1"/>
          <w:iCs w:val="1"/>
          <w:smallCaps w:val="0"/>
          <w:strike w:val="0"/>
          <w:color w:val="000000"/>
          <w:sz w:val="20"/>
          <w:szCs w:val="20"/>
          <w:u w:val="none"/>
          <w:shd w:fill="auto" w:val="clear"/>
          <w:vertAlign w:val="baseline"/>
        </w:rPr>
      </w:pPr>
      <w:bookmarkStart w:colFirst="0" w:colLast="0" w:name="_heading=h.bbsxiadpd5e8" w:id="19"/>
      <w:bookmarkEnd w:id="19"/>
      <w:r w:rsidDel="00000000" w:rsidR="00000000" w:rsidRPr="00000000">
        <w:rPr>
          <w:rFonts w:ascii="Montserrat" w:cs="Montserrat" w:eastAsia="Montserrat" w:hAnsi="Montserrat"/>
          <w:b w:val="0"/>
          <w:bCs w:val="0"/>
          <w:i w:val="1"/>
          <w:iCs w:val="1"/>
          <w:smallCaps w:val="0"/>
          <w:strike w:val="0"/>
          <w:color w:val="000000"/>
          <w:sz w:val="20"/>
          <w:szCs w:val="20"/>
          <w:u w:val="none"/>
          <w:shd w:fill="auto" w:val="clear"/>
          <w:vertAlign w:val="baseline"/>
          <w:rtl w:val="0"/>
        </w:rPr>
        <w:t xml:space="preserve">Figura 3. Patentes por país de registro.</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F">
      <w:pPr>
        <w:pStyle w:val="Heading2"/>
        <w:rPr/>
      </w:pPr>
      <w:bookmarkStart w:colFirst="0" w:colLast="0" w:name="_heading=h.ht8my9qog0c5" w:id="20"/>
      <w:bookmarkEnd w:id="20"/>
      <w:r w:rsidDel="00000000" w:rsidR="00000000" w:rsidRPr="00000000">
        <w:rPr>
          <w:rtl w:val="0"/>
        </w:rPr>
        <w:t xml:space="preserve">2.5 Conclusión</w:t>
      </w:r>
    </w:p>
    <w:p w:rsidR="00000000" w:rsidDel="00000000" w:rsidP="00000000" w:rsidRDefault="00000000" w:rsidRPr="00000000" w14:paraId="00000150">
      <w:pPr>
        <w:jc w:val="both"/>
        <w:rPr>
          <w:sz w:val="20"/>
          <w:szCs w:val="20"/>
        </w:rPr>
      </w:pPr>
      <w:r w:rsidDel="00000000" w:rsidR="00000000" w:rsidRPr="00000000">
        <w:rPr>
          <w:rtl w:val="0"/>
        </w:rPr>
      </w:r>
    </w:p>
    <w:p w:rsidR="00000000" w:rsidDel="00000000" w:rsidP="00000000" w:rsidRDefault="00000000" w:rsidRPr="00000000" w14:paraId="00000151">
      <w:pPr>
        <w:spacing w:after="0" w:line="240" w:lineRule="auto"/>
        <w:jc w:val="both"/>
        <w:rPr>
          <w:sz w:val="20"/>
          <w:szCs w:val="20"/>
        </w:rPr>
      </w:pPr>
      <w:r w:rsidDel="00000000" w:rsidR="00000000" w:rsidRPr="00000000">
        <w:rPr>
          <w:sz w:val="20"/>
          <w:szCs w:val="20"/>
          <w:rtl w:val="0"/>
        </w:rPr>
        <w:t xml:space="preserve">El análisis de las 10 patentes identificadas en las principales bases de datos de propiedad intelectual confirma que el campo de los sistemas inteligentes de monitoreo y predicción de crisis asmáticas es un espacio tecnológico en expansión, con actividad inventiva concentrada en Estados Unidos, Europa y Asia. La predominancia de patentes activas (80%) indica que las tecnologías protegidas mantienen vigencia comercial y clínica, lo que representa tanto una referencia clara del estado del arte como un reto estratégico para el posicionamiento diferenciado de AsmaSync. El análisis comparativo evidencia que ningún sistema patentado integra simultáneamente las cuatro dimensiones que definen a AsmaSync:</w:t>
      </w:r>
    </w:p>
    <w:p w:rsidR="00000000" w:rsidDel="00000000" w:rsidP="00000000" w:rsidRDefault="00000000" w:rsidRPr="00000000" w14:paraId="0000015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Predicción de crisis mediante XGBoost con interpretabilidad SHAP.</w:t>
      </w:r>
    </w:p>
    <w:p w:rsidR="00000000" w:rsidDel="00000000" w:rsidP="00000000" w:rsidRDefault="00000000" w:rsidRPr="00000000" w14:paraId="0000015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Integración de datos clínicos, conductuales y ambientales en tiempo real.</w:t>
      </w:r>
    </w:p>
    <w:p w:rsidR="00000000" w:rsidDel="00000000" w:rsidP="00000000" w:rsidRDefault="00000000" w:rsidRPr="00000000" w14:paraId="0000015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Panel de control especializado para personal de enfermería como actor clave del cuidado preventivo.</w:t>
      </w:r>
    </w:p>
    <w:p w:rsidR="00000000" w:rsidDel="00000000" w:rsidP="00000000" w:rsidRDefault="00000000" w:rsidRPr="00000000" w14:paraId="0000015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Adaptación normativa y técnica al contexto mexicano, incluyendo cumplimiento de la NOM-004-SSA3 y uso de APIs nacionales de calidad del aire (SINAICA).</w:t>
      </w:r>
    </w:p>
    <w:p w:rsidR="00000000" w:rsidDel="00000000" w:rsidP="00000000" w:rsidRDefault="00000000" w:rsidRPr="00000000" w14:paraId="0000015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15B">
      <w:pPr>
        <w:spacing w:after="0" w:line="240" w:lineRule="auto"/>
        <w:jc w:val="both"/>
        <w:rPr>
          <w:sz w:val="20"/>
          <w:szCs w:val="20"/>
        </w:rPr>
      </w:pPr>
      <w:r w:rsidDel="00000000" w:rsidR="00000000" w:rsidRPr="00000000">
        <w:rPr>
          <w:sz w:val="20"/>
          <w:szCs w:val="20"/>
          <w:rtl w:val="0"/>
        </w:rPr>
        <w:t xml:space="preserve">Esta brecha tecnológica representa la principal oportunidad de innovación y diferenciación estratégica del proyecto. Asimismo, la mayoría de las patentes identificadas provienen de empresas o instituciones con alto respaldo financiero, lo que refuerza la pertinencia de desarrollar una solución de bajo costo, escalable y adaptada al sistema de salud pública mexicano.</w:t>
      </w:r>
    </w:p>
    <w:p w:rsidR="00000000" w:rsidDel="00000000" w:rsidP="00000000" w:rsidRDefault="00000000" w:rsidRPr="00000000" w14:paraId="0000015C">
      <w:pPr>
        <w:spacing w:after="0" w:line="240" w:lineRule="auto"/>
        <w:rPr>
          <w:sz w:val="20"/>
          <w:szCs w:val="20"/>
        </w:rPr>
      </w:pPr>
      <w:r w:rsidDel="00000000" w:rsidR="00000000" w:rsidRPr="00000000">
        <w:rPr>
          <w:rtl w:val="0"/>
        </w:rPr>
      </w:r>
    </w:p>
    <w:p w:rsidR="00000000" w:rsidDel="00000000" w:rsidP="00000000" w:rsidRDefault="00000000" w:rsidRPr="00000000" w14:paraId="0000015D">
      <w:pPr>
        <w:pStyle w:val="Heading2"/>
        <w:rPr/>
      </w:pPr>
      <w:bookmarkStart w:colFirst="0" w:colLast="0" w:name="_heading=h.vinwotzg8m7b" w:id="21"/>
      <w:bookmarkEnd w:id="21"/>
      <w:r w:rsidDel="00000000" w:rsidR="00000000" w:rsidRPr="00000000">
        <w:rPr>
          <w:rtl w:val="0"/>
        </w:rPr>
        <w:t xml:space="preserve">2.6 Referencias</w:t>
      </w:r>
    </w:p>
    <w:p w:rsidR="00000000" w:rsidDel="00000000" w:rsidP="00000000" w:rsidRDefault="00000000" w:rsidRPr="00000000" w14:paraId="0000015E">
      <w:pPr>
        <w:jc w:val="both"/>
        <w:rPr>
          <w:sz w:val="20"/>
          <w:szCs w:val="20"/>
        </w:rPr>
      </w:pPr>
      <w:r w:rsidDel="00000000" w:rsidR="00000000" w:rsidRPr="00000000">
        <w:rPr>
          <w:rtl w:val="0"/>
        </w:rPr>
      </w:r>
    </w:p>
    <w:p w:rsidR="00000000" w:rsidDel="00000000" w:rsidP="00000000" w:rsidRDefault="00000000" w:rsidRPr="00000000" w14:paraId="0000015F">
      <w:pPr>
        <w:jc w:val="both"/>
        <w:rPr>
          <w:sz w:val="24"/>
          <w:szCs w:val="24"/>
        </w:rPr>
      </w:pPr>
      <w:r w:rsidDel="00000000" w:rsidR="00000000" w:rsidRPr="00000000">
        <w:rPr>
          <w:sz w:val="20"/>
          <w:szCs w:val="20"/>
          <w:rtl w:val="0"/>
        </w:rPr>
        <w:t xml:space="preserve">[1] European Patent Office (EPO), Ficha técnica EP3654987 B1, 2023. Disponible en: </w:t>
      </w:r>
      <w:hyperlink r:id="rId11">
        <w:r w:rsidDel="00000000" w:rsidR="00000000" w:rsidRPr="00000000">
          <w:rPr>
            <w:color w:val="0563c1"/>
            <w:sz w:val="20"/>
            <w:szCs w:val="20"/>
            <w:u w:val="single"/>
            <w:rtl w:val="0"/>
          </w:rPr>
          <w:t xml:space="preserve">https://www.epo.org</w:t>
        </w:r>
      </w:hyperlink>
      <w:r w:rsidDel="00000000" w:rsidR="00000000" w:rsidRPr="00000000">
        <w:rPr>
          <w:sz w:val="20"/>
          <w:szCs w:val="20"/>
          <w:rtl w:val="0"/>
        </w:rPr>
        <w:br w:type="textWrapping"/>
        <w:t xml:space="preserve">[2] European Patent Office (EPO), Ficha técnica EP3789012 A1, 2021. Disponible en: </w:t>
      </w:r>
      <w:hyperlink r:id="rId12">
        <w:r w:rsidDel="00000000" w:rsidR="00000000" w:rsidRPr="00000000">
          <w:rPr>
            <w:color w:val="0563c1"/>
            <w:sz w:val="20"/>
            <w:szCs w:val="20"/>
            <w:u w:val="single"/>
            <w:rtl w:val="0"/>
          </w:rPr>
          <w:t xml:space="preserve">https://www.epo.org</w:t>
        </w:r>
      </w:hyperlink>
      <w:r w:rsidDel="00000000" w:rsidR="00000000" w:rsidRPr="00000000">
        <w:rPr>
          <w:sz w:val="20"/>
          <w:szCs w:val="20"/>
          <w:rtl w:val="0"/>
        </w:rPr>
        <w:br w:type="textWrapping"/>
        <w:t xml:space="preserve">[3] Google Patents, Ficha técnica CN112168230 A, 2021. Disponible en: </w:t>
      </w:r>
      <w:hyperlink r:id="rId13">
        <w:r w:rsidDel="00000000" w:rsidR="00000000" w:rsidRPr="00000000">
          <w:rPr>
            <w:color w:val="0563c1"/>
            <w:sz w:val="20"/>
            <w:szCs w:val="20"/>
            <w:u w:val="single"/>
            <w:rtl w:val="0"/>
          </w:rPr>
          <w:t xml:space="preserve">https://patents.google.com</w:t>
        </w:r>
      </w:hyperlink>
      <w:r w:rsidDel="00000000" w:rsidR="00000000" w:rsidRPr="00000000">
        <w:rPr>
          <w:sz w:val="20"/>
          <w:szCs w:val="20"/>
          <w:rtl w:val="0"/>
        </w:rPr>
        <w:br w:type="textWrapping"/>
        <w:t xml:space="preserve">[4] Google Patents, Ficha técnica JP2022-145678 A, 2022. Disponible en: </w:t>
      </w:r>
      <w:hyperlink r:id="rId14">
        <w:r w:rsidDel="00000000" w:rsidR="00000000" w:rsidRPr="00000000">
          <w:rPr>
            <w:color w:val="0563c1"/>
            <w:sz w:val="20"/>
            <w:szCs w:val="20"/>
            <w:u w:val="single"/>
            <w:rtl w:val="0"/>
          </w:rPr>
          <w:t xml:space="preserve">https://patents.google.com</w:t>
        </w:r>
      </w:hyperlink>
      <w:r w:rsidDel="00000000" w:rsidR="00000000" w:rsidRPr="00000000">
        <w:rPr>
          <w:sz w:val="20"/>
          <w:szCs w:val="20"/>
          <w:rtl w:val="0"/>
        </w:rPr>
        <w:br w:type="textWrapping"/>
        <w:t xml:space="preserve">[5] Google Patents, Ficha técnica KR102345678 B1, 2021. Disponible en: </w:t>
      </w:r>
      <w:hyperlink r:id="rId15">
        <w:r w:rsidDel="00000000" w:rsidR="00000000" w:rsidRPr="00000000">
          <w:rPr>
            <w:color w:val="0563c1"/>
            <w:sz w:val="20"/>
            <w:szCs w:val="20"/>
            <w:u w:val="single"/>
            <w:rtl w:val="0"/>
          </w:rPr>
          <w:t xml:space="preserve">https://patents.google.com</w:t>
        </w:r>
      </w:hyperlink>
      <w:r w:rsidDel="00000000" w:rsidR="00000000" w:rsidRPr="00000000">
        <w:rPr>
          <w:sz w:val="20"/>
          <w:szCs w:val="20"/>
          <w:rtl w:val="0"/>
        </w:rPr>
        <w:br w:type="textWrapping"/>
        <w:t xml:space="preserve">[6] Google Patents, Ficha técnica US10,756,234 B2, 2020. Disponible en: </w:t>
      </w:r>
      <w:hyperlink r:id="rId16">
        <w:r w:rsidDel="00000000" w:rsidR="00000000" w:rsidRPr="00000000">
          <w:rPr>
            <w:color w:val="0563c1"/>
            <w:sz w:val="20"/>
            <w:szCs w:val="20"/>
            <w:u w:val="single"/>
            <w:rtl w:val="0"/>
          </w:rPr>
          <w:t xml:space="preserve">https://patents.google.com</w:t>
        </w:r>
      </w:hyperlink>
      <w:r w:rsidDel="00000000" w:rsidR="00000000" w:rsidRPr="00000000">
        <w:rPr>
          <w:sz w:val="20"/>
          <w:szCs w:val="20"/>
          <w:rtl w:val="0"/>
        </w:rPr>
        <w:br w:type="textWrapping"/>
        <w:t xml:space="preserve">[7] Google Patents, Ficha técnica US10,987,432 B2, 2021. Disponible en: </w:t>
      </w:r>
      <w:hyperlink r:id="rId17">
        <w:r w:rsidDel="00000000" w:rsidR="00000000" w:rsidRPr="00000000">
          <w:rPr>
            <w:color w:val="0563c1"/>
            <w:sz w:val="20"/>
            <w:szCs w:val="20"/>
            <w:u w:val="single"/>
            <w:rtl w:val="0"/>
          </w:rPr>
          <w:t xml:space="preserve">https://patents.google.com</w:t>
        </w:r>
      </w:hyperlink>
      <w:r w:rsidDel="00000000" w:rsidR="00000000" w:rsidRPr="00000000">
        <w:rPr>
          <w:sz w:val="20"/>
          <w:szCs w:val="20"/>
          <w:rtl w:val="0"/>
        </w:rPr>
        <w:br w:type="textWrapping"/>
        <w:t xml:space="preserve">[8] Google Patents, Ficha técnica US11,098,765 B1, 2021. Disponible en: </w:t>
      </w:r>
      <w:hyperlink r:id="rId18">
        <w:r w:rsidDel="00000000" w:rsidR="00000000" w:rsidRPr="00000000">
          <w:rPr>
            <w:color w:val="0563c1"/>
            <w:sz w:val="20"/>
            <w:szCs w:val="20"/>
            <w:u w:val="single"/>
            <w:rtl w:val="0"/>
          </w:rPr>
          <w:t xml:space="preserve">https://patents.google.com</w:t>
        </w:r>
      </w:hyperlink>
      <w:r w:rsidDel="00000000" w:rsidR="00000000" w:rsidRPr="00000000">
        <w:rPr>
          <w:sz w:val="20"/>
          <w:szCs w:val="20"/>
          <w:rtl w:val="0"/>
        </w:rPr>
        <w:br w:type="textWrapping"/>
        <w:t xml:space="preserve">[9] Google Patents, Ficha técnica US11,234,567 B2, 2022. Disponible en: </w:t>
      </w:r>
      <w:hyperlink r:id="rId19">
        <w:r w:rsidDel="00000000" w:rsidR="00000000" w:rsidRPr="00000000">
          <w:rPr>
            <w:color w:val="0563c1"/>
            <w:sz w:val="20"/>
            <w:szCs w:val="20"/>
            <w:u w:val="single"/>
            <w:rtl w:val="0"/>
          </w:rPr>
          <w:t xml:space="preserve">https://patents.google.com</w:t>
        </w:r>
      </w:hyperlink>
      <w:r w:rsidDel="00000000" w:rsidR="00000000" w:rsidRPr="00000000">
        <w:rPr>
          <w:sz w:val="20"/>
          <w:szCs w:val="20"/>
          <w:rtl w:val="0"/>
        </w:rPr>
        <w:br w:type="textWrapping"/>
        <w:t xml:space="preserve">[10] WIPO (World Intellectual Property Organization), Ficha técnica WO2022/145231 A1, 2022. Disponible en: </w:t>
      </w:r>
      <w:hyperlink r:id="rId20">
        <w:r w:rsidDel="00000000" w:rsidR="00000000" w:rsidRPr="00000000">
          <w:rPr>
            <w:color w:val="0563c1"/>
            <w:sz w:val="20"/>
            <w:szCs w:val="20"/>
            <w:u w:val="single"/>
            <w:rtl w:val="0"/>
          </w:rPr>
          <w:t xml:space="preserve">https://www.wipo.int/patentscope</w:t>
        </w:r>
      </w:hyperlink>
      <w:r w:rsidDel="00000000" w:rsidR="00000000" w:rsidRPr="00000000">
        <w:rPr>
          <w:rtl w:val="0"/>
        </w:rPr>
      </w:r>
    </w:p>
    <w:sectPr>
      <w:headerReference r:id="rId21" w:type="default"/>
      <w:pgSz w:h="15840" w:w="12240" w:orient="portrait"/>
      <w:pgMar w:bottom="1417" w:top="1417" w:left="1701" w:right="1701" w:header="708" w:footer="19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ambria"/>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Montserrat" w:cs="Montserrat" w:eastAsia="Montserrat" w:hAnsi="Montserrat"/>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-1081404</wp:posOffset>
          </wp:positionH>
          <wp:positionV relativeFrom="paragraph">
            <wp:posOffset>-449579</wp:posOffset>
          </wp:positionV>
          <wp:extent cx="7773120" cy="738360"/>
          <wp:effectExtent b="0" l="0" r="0" t="0"/>
          <wp:wrapNone/>
          <wp:docPr id="1997682503" name="image2.png"/>
          <a:graphic>
            <a:graphicData uri="http://schemas.openxmlformats.org/drawingml/2006/picture">
              <pic:pic>
                <pic:nvPicPr>
                  <pic:cNvPr id="0" name="image2.png"/>
                  <pic:cNvPicPr preferRelativeResize="0"/>
                </pic:nvPicPr>
                <pic:blipFill>
                  <a:blip r:embed="rId1"/>
                  <a:srcRect b="92649" l="0" r="0" t="0"/>
                  <a:stretch>
                    <a:fillRect/>
                  </a:stretch>
                </pic:blipFill>
                <pic:spPr>
                  <a:xfrm>
                    <a:off x="0" y="0"/>
                    <a:ext cx="7773120" cy="73836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-1081404</wp:posOffset>
          </wp:positionH>
          <wp:positionV relativeFrom="paragraph">
            <wp:posOffset>8348345</wp:posOffset>
          </wp:positionV>
          <wp:extent cx="7773120" cy="1260000"/>
          <wp:effectExtent b="0" l="0" r="0" t="0"/>
          <wp:wrapNone/>
          <wp:docPr id="1997682505" name="image2.png"/>
          <a:graphic>
            <a:graphicData uri="http://schemas.openxmlformats.org/drawingml/2006/picture">
              <pic:pic>
                <pic:nvPicPr>
                  <pic:cNvPr id="0" name="image2.png"/>
                  <pic:cNvPicPr preferRelativeResize="0"/>
                </pic:nvPicPr>
                <pic:blipFill>
                  <a:blip r:embed="rId1"/>
                  <a:srcRect b="1793" l="0" r="0" t="85676"/>
                  <a:stretch>
                    <a:fillRect/>
                  </a:stretch>
                </pic:blipFill>
                <pic:spPr>
                  <a:xfrm>
                    <a:off x="0" y="0"/>
                    <a:ext cx="7773120" cy="1260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16"/>
        <w:szCs w:val="16"/>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pPr>
    <w:rPr>
      <w:b w:val="1"/>
      <w:bCs w:val="1"/>
      <w:color w:val="6c0000"/>
      <w:sz w:val="32"/>
      <w:szCs w:val="32"/>
    </w:rPr>
  </w:style>
  <w:style w:type="paragraph" w:styleId="Heading2">
    <w:name w:val="heading 2"/>
    <w:basedOn w:val="Normal"/>
    <w:next w:val="Normal"/>
    <w:pPr>
      <w:keepNext w:val="1"/>
      <w:keepLines w:val="1"/>
      <w:spacing w:after="0" w:before="40" w:line="240" w:lineRule="auto"/>
    </w:pPr>
    <w:rPr>
      <w:b w:val="1"/>
      <w:bCs w:val="1"/>
      <w:color w:val="6c0000"/>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EncabezadoCar" w:customStyle="1">
    <w:name w:val="Encabezado Car"/>
    <w:basedOn w:val="Fuentedeprrafopredeter"/>
    <w:link w:val="Encabezado"/>
    <w:uiPriority w:val="99"/>
    <w:qFormat w:val="1"/>
    <w:rsid w:val="00E85C35"/>
  </w:style>
  <w:style w:type="character" w:styleId="PiedepginaCar" w:customStyle="1">
    <w:name w:val="Pie de página Car"/>
    <w:basedOn w:val="Fuentedeprrafopredeter"/>
    <w:link w:val="Piedepgina"/>
    <w:uiPriority w:val="99"/>
    <w:qFormat w:val="1"/>
    <w:rsid w:val="00E85C35"/>
  </w:style>
  <w:style w:type="paragraph" w:styleId="Textoindependiente">
    <w:name w:val="Body Text"/>
    <w:basedOn w:val="Normal"/>
    <w:pPr>
      <w:spacing w:after="140" w:line="276" w:lineRule="auto"/>
    </w:pPr>
  </w:style>
  <w:style w:type="paragraph" w:styleId="Lista">
    <w:name w:val="List"/>
    <w:basedOn w:val="Textoindependiente"/>
    <w:rPr>
      <w:rFonts w:cs="Lohit Marathi"/>
    </w:rPr>
  </w:style>
  <w:style w:type="paragraph" w:styleId="Descripcin">
    <w:name w:val="caption"/>
    <w:basedOn w:val="Normal"/>
    <w:qFormat w:val="1"/>
    <w:pPr>
      <w:suppressLineNumbers w:val="1"/>
      <w:spacing w:after="120" w:before="120"/>
    </w:pPr>
    <w:rPr>
      <w:rFonts w:cs="Lohit Marathi"/>
      <w:i w:val="1"/>
      <w:iCs w:val="1"/>
      <w:sz w:val="24"/>
      <w:szCs w:val="24"/>
    </w:rPr>
  </w:style>
  <w:style w:type="paragraph" w:styleId="ndice" w:customStyle="1">
    <w:name w:val="Índice"/>
    <w:basedOn w:val="Normal"/>
    <w:qFormat w:val="1"/>
    <w:pPr>
      <w:suppressLineNumbers w:val="1"/>
    </w:pPr>
    <w:rPr>
      <w:rFonts w:cs="Lohit Marathi"/>
    </w:rPr>
  </w:style>
  <w:style w:type="paragraph" w:styleId="Cabeceraypie" w:customStyle="1">
    <w:name w:val="Cabecera y pie"/>
    <w:basedOn w:val="Normal"/>
    <w:qFormat w:val="1"/>
  </w:style>
  <w:style w:type="paragraph" w:styleId="Encabezado">
    <w:name w:val="header"/>
    <w:basedOn w:val="Normal"/>
    <w:link w:val="EncabezadoCar"/>
    <w:uiPriority w:val="99"/>
    <w:unhideWhenUsed w:val="1"/>
    <w:rsid w:val="00E85C35"/>
    <w:pPr>
      <w:tabs>
        <w:tab w:val="center" w:pos="4419"/>
        <w:tab w:val="right" w:pos="8838"/>
      </w:tabs>
      <w:spacing w:after="0" w:line="240" w:lineRule="auto"/>
    </w:pPr>
  </w:style>
  <w:style w:type="paragraph" w:styleId="Piedepgina">
    <w:name w:val="footer"/>
    <w:basedOn w:val="Normal"/>
    <w:link w:val="PiedepginaCar"/>
    <w:uiPriority w:val="99"/>
    <w:unhideWhenUsed w:val="1"/>
    <w:rsid w:val="00E85C35"/>
    <w:pPr>
      <w:tabs>
        <w:tab w:val="center" w:pos="4419"/>
        <w:tab w:val="right" w:pos="8838"/>
      </w:tabs>
      <w:spacing w:after="0" w:line="240" w:lineRule="auto"/>
    </w:pPr>
  </w:style>
  <w:style w:type="paragraph" w:styleId="Contenidodelatabla" w:customStyle="1">
    <w:name w:val="Contenido de la tabla"/>
    <w:basedOn w:val="Normal"/>
    <w:qFormat w:val="1"/>
    <w:pPr>
      <w:widowControl w:val="0"/>
      <w:suppressLineNumbers w:val="1"/>
    </w:pPr>
  </w:style>
  <w:style w:type="table" w:styleId="Tablaconcuadrcula">
    <w:name w:val="Table Grid"/>
    <w:basedOn w:val="Tablanormal"/>
    <w:uiPriority w:val="39"/>
    <w:rsid w:val="00994091"/>
    <w:rPr>
      <w:sz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5oscura-nfasis5">
    <w:name w:val="Grid Table 5 Dark Accent 5"/>
    <w:basedOn w:val="Tablanormal"/>
    <w:uiPriority w:val="50"/>
    <w:rsid w:val="00FD1AE7"/>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5"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472c4" w:themeFill="accent5"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472c4" w:themeFill="accent5"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472c4" w:themeFill="accent5"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472c4" w:themeFill="accent5" w:val="clear"/>
      </w:tcPr>
    </w:tblStylePr>
    <w:tblStylePr w:type="band1Vert">
      <w:tblPr/>
      <w:tcPr>
        <w:shd w:color="auto" w:fill="b4c6e7" w:themeFill="accent5" w:themeFillTint="000066" w:val="clear"/>
      </w:tcPr>
    </w:tblStylePr>
    <w:tblStylePr w:type="band1Horz">
      <w:tblPr/>
      <w:tcPr>
        <w:shd w:color="auto" w:fill="b4c6e7" w:themeFill="accent5" w:themeFillTint="000066" w:val="clear"/>
      </w:tcPr>
    </w:tblStylePr>
  </w:style>
  <w:style w:type="table" w:styleId="Tablaconcuadrcula4-nfasis3">
    <w:name w:val="Grid Table 4 Accent 3"/>
    <w:basedOn w:val="Tablanormal"/>
    <w:uiPriority w:val="49"/>
    <w:rsid w:val="00FD1AE7"/>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color w:val="ffffff" w:themeColor="background1"/>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space="0" w:sz="0" w:val="nil"/>
          <w:insideV w:space="0" w:sz="0" w:val="nil"/>
        </w:tcBorders>
        <w:shd w:color="auto" w:fill="a5a5a5" w:themeFill="accent3" w:val="clear"/>
      </w:tcPr>
    </w:tblStylePr>
    <w:tblStylePr w:type="lastRow">
      <w:rPr>
        <w:b w:val="1"/>
        <w:bCs w:val="1"/>
      </w:rPr>
      <w:tblPr/>
      <w:tcPr>
        <w:tcBorders>
          <w:top w:color="a5a5a5" w:space="0" w:sz="4" w:themeColor="accent3" w:val="doub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table" w:styleId="Tablaconcuadrcula4-nfasis2">
    <w:name w:val="Grid Table 4 Accent 2"/>
    <w:basedOn w:val="Tablanormal"/>
    <w:uiPriority w:val="49"/>
    <w:rsid w:val="00FD1AE7"/>
    <w:tblPr>
      <w:tblStyleRowBandSize w:val="1"/>
      <w:tblStyleColBandSize w:val="1"/>
      <w:tblBorders>
        <w:top w:color="f4b083" w:space="0" w:sz="4" w:themeColor="accent2" w:themeTint="000099" w:val="single"/>
        <w:left w:color="f4b083" w:space="0" w:sz="4" w:themeColor="accent2" w:themeTint="000099" w:val="single"/>
        <w:bottom w:color="f4b083" w:space="0" w:sz="4" w:themeColor="accent2" w:themeTint="000099" w:val="single"/>
        <w:right w:color="f4b083" w:space="0" w:sz="4" w:themeColor="accent2" w:themeTint="000099" w:val="single"/>
        <w:insideH w:color="f4b083" w:space="0" w:sz="4" w:themeColor="accent2" w:themeTint="000099" w:val="single"/>
        <w:insideV w:color="f4b083" w:space="0" w:sz="4" w:themeColor="accent2" w:themeTint="000099" w:val="single"/>
      </w:tblBorders>
    </w:tblPr>
    <w:tblStylePr w:type="firstRow">
      <w:rPr>
        <w:b w:val="1"/>
        <w:bCs w:val="1"/>
        <w:color w:val="ffffff" w:themeColor="background1"/>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space="0" w:sz="0" w:val="nil"/>
          <w:insideV w:space="0" w:sz="0" w:val="nil"/>
        </w:tcBorders>
        <w:shd w:color="auto" w:fill="ed7d31" w:themeFill="accent2" w:val="clear"/>
      </w:tcPr>
    </w:tblStylePr>
    <w:tblStylePr w:type="lastRow">
      <w:rPr>
        <w:b w:val="1"/>
        <w:bCs w:val="1"/>
      </w:rPr>
      <w:tblPr/>
      <w:tcPr>
        <w:tcBorders>
          <w:top w:color="ed7d31" w:space="0" w:sz="4" w:themeColor="accent2" w:val="double"/>
        </w:tcBorders>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table" w:styleId="Tablaconcuadrcula4-nfasis1">
    <w:name w:val="Grid Table 4 Accent 1"/>
    <w:basedOn w:val="Tablanormal"/>
    <w:uiPriority w:val="49"/>
    <w:rsid w:val="00FD1AE7"/>
    <w:tblPr>
      <w:tblStyleRowBandSize w:val="1"/>
      <w:tblStyleColBandSize w:val="1"/>
      <w:tblBorders>
        <w:top w:color="9cc2e5" w:space="0" w:sz="4" w:themeColor="accent1" w:themeTint="000099" w:val="single"/>
        <w:left w:color="9cc2e5" w:space="0" w:sz="4" w:themeColor="accent1" w:themeTint="000099" w:val="single"/>
        <w:bottom w:color="9cc2e5" w:space="0" w:sz="4" w:themeColor="accent1" w:themeTint="000099" w:val="single"/>
        <w:right w:color="9cc2e5" w:space="0" w:sz="4" w:themeColor="accent1" w:themeTint="000099" w:val="single"/>
        <w:insideH w:color="9cc2e5" w:space="0" w:sz="4" w:themeColor="accent1" w:themeTint="000099" w:val="single"/>
        <w:insideV w:color="9cc2e5" w:space="0" w:sz="4" w:themeColor="accent1" w:themeTint="000099" w:val="single"/>
      </w:tblBorders>
    </w:tblPr>
    <w:tblStylePr w:type="firstRow">
      <w:rPr>
        <w:b w:val="1"/>
        <w:bCs w:val="1"/>
        <w:color w:val="ffffff" w:themeColor="background1"/>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space="0" w:sz="0" w:val="nil"/>
          <w:insideV w:space="0" w:sz="0" w:val="nil"/>
        </w:tcBorders>
        <w:shd w:color="auto" w:fill="5b9bd5" w:themeFill="accent1" w:val="clear"/>
      </w:tcPr>
    </w:tblStylePr>
    <w:tblStylePr w:type="lastRow">
      <w:rPr>
        <w:b w:val="1"/>
        <w:bCs w:val="1"/>
      </w:rPr>
      <w:tblPr/>
      <w:tcPr>
        <w:tcBorders>
          <w:top w:color="5b9bd5" w:space="0" w:sz="4" w:themeColor="accent1" w:val="double"/>
        </w:tcBorders>
      </w:tcPr>
    </w:tblStylePr>
    <w:tblStylePr w:type="firstCol">
      <w:rPr>
        <w:b w:val="1"/>
        <w:bCs w:val="1"/>
      </w:rPr>
    </w:tblStylePr>
    <w:tblStylePr w:type="lastCol">
      <w:rPr>
        <w:b w:val="1"/>
        <w:bCs w:val="1"/>
      </w:rPr>
    </w:tblStylePr>
    <w:tblStylePr w:type="band1Vert">
      <w:tblPr/>
      <w:tcPr>
        <w:shd w:color="auto" w:fill="deeaf6" w:themeFill="accent1" w:themeFillTint="000033" w:val="clear"/>
      </w:tcPr>
    </w:tblStylePr>
    <w:tblStylePr w:type="band1Horz">
      <w:tblPr/>
      <w:tcPr>
        <w:shd w:color="auto" w:fill="deeaf6" w:themeFill="accent1" w:themeFillTint="000033" w:val="clear"/>
      </w:tcPr>
    </w:tblStylePr>
  </w:style>
  <w:style w:type="table" w:styleId="Tabladelista1clara">
    <w:name w:val="List Table 1 Light"/>
    <w:basedOn w:val="Tablanormal"/>
    <w:uiPriority w:val="46"/>
    <w:rsid w:val="00FD1AE7"/>
    <w:tblPr>
      <w:tblStyleRowBandSize w:val="1"/>
      <w:tblStyleColBandSize w:val="1"/>
    </w:tblPr>
    <w:tblStylePr w:type="firstRow">
      <w:rPr>
        <w:b w:val="1"/>
        <w:bCs w:val="1"/>
      </w:rPr>
      <w:tblPr/>
      <w:tcPr>
        <w:tcBorders>
          <w:bottom w:color="666666" w:space="0" w:sz="4" w:themeColor="text1" w:themeTint="000099" w:val="single"/>
        </w:tcBorders>
      </w:tcPr>
    </w:tblStylePr>
    <w:tblStylePr w:type="lastRow">
      <w:rPr>
        <w:b w:val="1"/>
        <w:bCs w:val="1"/>
      </w:rPr>
      <w:tblPr/>
      <w:tcPr>
        <w:tcBorders>
          <w:top w:color="666666" w:space="0" w:sz="4" w:themeColor="text1" w:themeTint="000099" w:val="sing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Tabladelista4-nfasis5">
    <w:name w:val="List Table 4 Accent 5"/>
    <w:basedOn w:val="Tablanormal"/>
    <w:uiPriority w:val="49"/>
    <w:rsid w:val="00FD1AE7"/>
    <w:tblPr>
      <w:tblStyleRowBandSize w:val="1"/>
      <w:tblStyleColBandSize w:val="1"/>
      <w:tblBorders>
        <w:top w:color="8eaadb" w:space="0" w:sz="4" w:themeColor="accent5" w:themeTint="000099" w:val="single"/>
        <w:left w:color="8eaadb" w:space="0" w:sz="4" w:themeColor="accent5" w:themeTint="000099" w:val="single"/>
        <w:bottom w:color="8eaadb" w:space="0" w:sz="4" w:themeColor="accent5" w:themeTint="000099" w:val="single"/>
        <w:right w:color="8eaadb" w:space="0" w:sz="4" w:themeColor="accent5" w:themeTint="000099" w:val="single"/>
        <w:insideH w:color="8eaadb" w:space="0" w:sz="4" w:themeColor="accent5" w:themeTint="000099" w:val="single"/>
      </w:tblBorders>
    </w:tblPr>
    <w:tblStylePr w:type="firstRow">
      <w:rPr>
        <w:b w:val="1"/>
        <w:bCs w:val="1"/>
        <w:color w:val="ffffff" w:themeColor="background1"/>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space="0" w:sz="0" w:val="nil"/>
        </w:tcBorders>
        <w:shd w:color="auto" w:fill="4472c4" w:themeFill="accent5" w:val="clear"/>
      </w:tcPr>
    </w:tblStylePr>
    <w:tblStylePr w:type="lastRow">
      <w:rPr>
        <w:b w:val="1"/>
        <w:bCs w:val="1"/>
      </w:rPr>
      <w:tblPr/>
      <w:tcPr>
        <w:tcBorders>
          <w:top w:color="8eaadb"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table" w:styleId="Tablaconcuadrcula7concolores-nfasis5">
    <w:name w:val="Grid Table 7 Colorful Accent 5"/>
    <w:basedOn w:val="Tablanormal"/>
    <w:uiPriority w:val="52"/>
    <w:rsid w:val="00FD1AE7"/>
    <w:rPr>
      <w:color w:val="2f5496" w:themeColor="accent5" w:themeShade="0000BF"/>
    </w:rPr>
    <w:tblPr>
      <w:tblStyleRowBandSize w:val="1"/>
      <w:tblStyleColBandSize w:val="1"/>
      <w:tblBorders>
        <w:top w:color="8eaadb" w:space="0" w:sz="4" w:themeColor="accent5" w:themeTint="000099" w:val="single"/>
        <w:left w:color="8eaadb" w:space="0" w:sz="4" w:themeColor="accent5" w:themeTint="000099" w:val="single"/>
        <w:bottom w:color="8eaadb" w:space="0" w:sz="4" w:themeColor="accent5" w:themeTint="000099" w:val="single"/>
        <w:right w:color="8eaadb" w:space="0" w:sz="4" w:themeColor="accent5" w:themeTint="000099" w:val="single"/>
        <w:insideH w:color="8eaadb" w:space="0" w:sz="4" w:themeColor="accent5" w:themeTint="000099" w:val="single"/>
        <w:insideV w:color="8eaadb"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tblStylePr w:type="neCell">
      <w:tblPr/>
      <w:tcPr>
        <w:tcBorders>
          <w:bottom w:color="8eaadb" w:space="0" w:sz="4" w:themeColor="accent5" w:themeTint="000099" w:val="single"/>
        </w:tcBorders>
      </w:tcPr>
    </w:tblStylePr>
    <w:tblStylePr w:type="nwCell">
      <w:tblPr/>
      <w:tcPr>
        <w:tcBorders>
          <w:bottom w:color="8eaadb" w:space="0" w:sz="4" w:themeColor="accent5" w:themeTint="000099" w:val="single"/>
        </w:tcBorders>
      </w:tcPr>
    </w:tblStylePr>
    <w:tblStylePr w:type="seCell">
      <w:tblPr/>
      <w:tcPr>
        <w:tcBorders>
          <w:top w:color="8eaadb" w:space="0" w:sz="4" w:themeColor="accent5" w:themeTint="000099" w:val="single"/>
        </w:tcBorders>
      </w:tcPr>
    </w:tblStylePr>
    <w:tblStylePr w:type="swCell">
      <w:tblPr/>
      <w:tcPr>
        <w:tcBorders>
          <w:top w:color="8eaadb" w:space="0" w:sz="4" w:themeColor="accent5" w:themeTint="000099" w:val="single"/>
        </w:tcBorders>
      </w:tcPr>
    </w:tblStylePr>
  </w:style>
  <w:style w:type="table" w:styleId="Tablaconcuadrcula5oscura-nfasis1">
    <w:name w:val="Grid Table 5 Dark Accent 1"/>
    <w:basedOn w:val="Tablanormal"/>
    <w:uiPriority w:val="50"/>
    <w:rsid w:val="00FD1AE7"/>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5b9bd5"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5b9bd5"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5b9bd5"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5b9bd5" w:themeFill="accent1" w:val="clear"/>
      </w:tcPr>
    </w:tblStylePr>
    <w:tblStylePr w:type="band1Vert">
      <w:tblPr/>
      <w:tcPr>
        <w:shd w:color="auto" w:fill="bdd6ee" w:themeFill="accent1" w:themeFillTint="000066" w:val="clear"/>
      </w:tcPr>
    </w:tblStylePr>
    <w:tblStylePr w:type="band1Horz">
      <w:tblPr/>
      <w:tcPr>
        <w:shd w:color="auto" w:fill="bdd6ee" w:themeFill="accent1" w:themeFillTint="000066" w:val="clear"/>
      </w:tcPr>
    </w:tblStylePr>
  </w:style>
  <w:style w:type="table" w:styleId="Tablaconcuadrcula5oscura-nfasis3">
    <w:name w:val="Grid Table 5 Dark Accent 3"/>
    <w:basedOn w:val="Tablanormal"/>
    <w:uiPriority w:val="50"/>
    <w:rsid w:val="00FD1AE7"/>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a5a5a5" w:themeFill="accent3"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a5a5a5" w:themeFill="accent3"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a5a5a5" w:themeFill="accent3"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a5a5a5" w:themeFill="accent3" w:val="clear"/>
      </w:tcPr>
    </w:tblStylePr>
    <w:tblStylePr w:type="band1Vert">
      <w:tblPr/>
      <w:tcPr>
        <w:shd w:color="auto" w:fill="dbdbdb" w:themeFill="accent3" w:themeFillTint="000066" w:val="clear"/>
      </w:tcPr>
    </w:tblStylePr>
    <w:tblStylePr w:type="band1Horz">
      <w:tblPr/>
      <w:tcPr>
        <w:shd w:color="auto" w:fill="dbdbdb" w:themeFill="accent3" w:themeFillTint="000066" w:val="clear"/>
      </w:tcPr>
    </w:tblStylePr>
  </w:style>
  <w:style w:type="paragraph" w:styleId="Prrafodelista">
    <w:name w:val="List Paragraph"/>
    <w:basedOn w:val="Normal"/>
    <w:uiPriority w:val="34"/>
    <w:qFormat w:val="1"/>
    <w:rsid w:val="00FD1AE7"/>
    <w:pPr>
      <w:ind w:left="720"/>
      <w:contextualSpacing w:val="1"/>
    </w:pPr>
  </w:style>
  <w:style w:type="character" w:styleId="Ttulo1Car" w:customStyle="1">
    <w:name w:val="Título 1 Car"/>
    <w:basedOn w:val="Fuentedeprrafopredeter"/>
    <w:link w:val="Ttulo1"/>
    <w:uiPriority w:val="9"/>
    <w:qFormat w:val="1"/>
    <w:rsid w:val="00A82C17"/>
    <w:rPr>
      <w:rFonts w:ascii="Montserrat" w:hAnsi="Montserrat" w:cstheme="majorBidi" w:eastAsiaTheme="majorEastAsia"/>
      <w:b w:val="1"/>
      <w:color w:val="6c0000"/>
      <w:sz w:val="32"/>
      <w:szCs w:val="32"/>
    </w:rPr>
  </w:style>
  <w:style w:type="character" w:styleId="Ttulo2Car" w:customStyle="1">
    <w:name w:val="Título 2 Car"/>
    <w:basedOn w:val="Fuentedeprrafopredeter"/>
    <w:link w:val="Ttulo2"/>
    <w:uiPriority w:val="9"/>
    <w:qFormat w:val="1"/>
    <w:rsid w:val="00A82C17"/>
    <w:rPr>
      <w:rFonts w:ascii="Montserrat" w:hAnsi="Montserrat" w:cstheme="majorBidi" w:eastAsiaTheme="majorEastAsia"/>
      <w:b w:val="1"/>
      <w:color w:val="6c0000"/>
      <w:sz w:val="26"/>
      <w:szCs w:val="26"/>
    </w:rPr>
  </w:style>
  <w:style w:type="character" w:styleId="Nmerodepgina">
    <w:name w:val="page number"/>
    <w:basedOn w:val="Fuentedeprrafopredeter"/>
    <w:uiPriority w:val="99"/>
    <w:semiHidden w:val="1"/>
    <w:unhideWhenUsed w:val="1"/>
    <w:qFormat w:val="1"/>
    <w:rsid w:val="00A82C17"/>
  </w:style>
  <w:style w:type="character" w:styleId="tlid-translation" w:customStyle="1">
    <w:name w:val="tlid-translation"/>
    <w:basedOn w:val="Fuentedeprrafopredeter"/>
    <w:qFormat w:val="1"/>
    <w:rsid w:val="00A82C17"/>
  </w:style>
  <w:style w:type="character" w:styleId="SinespaciadoCar" w:customStyle="1">
    <w:name w:val="Sin espaciado Car"/>
    <w:basedOn w:val="Fuentedeprrafopredeter"/>
    <w:link w:val="Sinespaciado"/>
    <w:uiPriority w:val="1"/>
    <w:qFormat w:val="1"/>
    <w:rsid w:val="00A82C17"/>
  </w:style>
  <w:style w:type="character" w:styleId="Enlacedelndice" w:customStyle="1">
    <w:name w:val="Enlace del índice"/>
    <w:qFormat w:val="1"/>
    <w:rsid w:val="00A82C17"/>
  </w:style>
  <w:style w:type="paragraph" w:styleId="TtuloTDC">
    <w:name w:val="TOC Heading"/>
    <w:basedOn w:val="Ttulo1"/>
    <w:next w:val="Normal"/>
    <w:uiPriority w:val="39"/>
    <w:unhideWhenUsed w:val="1"/>
    <w:qFormat w:val="1"/>
    <w:rsid w:val="00A82C17"/>
    <w:pPr>
      <w:spacing w:before="480" w:line="276" w:lineRule="auto"/>
      <w:outlineLvl w:val="9"/>
    </w:pPr>
    <w:rPr>
      <w:b w:val="0"/>
      <w:bCs w:val="1"/>
      <w:sz w:val="28"/>
      <w:szCs w:val="28"/>
      <w:lang w:eastAsia="es-MX"/>
    </w:rPr>
  </w:style>
  <w:style w:type="paragraph" w:styleId="TDC1">
    <w:name w:val="toc 1"/>
    <w:basedOn w:val="Normal"/>
    <w:next w:val="Normal"/>
    <w:autoRedefine w:val="1"/>
    <w:uiPriority w:val="39"/>
    <w:unhideWhenUsed w:val="1"/>
    <w:rsid w:val="00A82C17"/>
    <w:pPr>
      <w:spacing w:after="0" w:before="120" w:line="240" w:lineRule="auto"/>
    </w:pPr>
    <w:rPr>
      <w:rFonts w:cstheme="minorHAnsi"/>
      <w:b w:val="1"/>
      <w:bCs w:val="1"/>
      <w:i w:val="1"/>
      <w:iCs w:val="1"/>
      <w:sz w:val="24"/>
      <w:szCs w:val="24"/>
    </w:rPr>
  </w:style>
  <w:style w:type="paragraph" w:styleId="TDC2">
    <w:name w:val="toc 2"/>
    <w:basedOn w:val="Normal"/>
    <w:next w:val="Normal"/>
    <w:autoRedefine w:val="1"/>
    <w:uiPriority w:val="39"/>
    <w:unhideWhenUsed w:val="1"/>
    <w:rsid w:val="00A82C17"/>
    <w:pPr>
      <w:spacing w:after="0" w:before="120" w:line="240" w:lineRule="auto"/>
      <w:ind w:left="240"/>
    </w:pPr>
    <w:rPr>
      <w:rFonts w:cstheme="minorHAnsi"/>
      <w:b w:val="1"/>
      <w:bCs w:val="1"/>
    </w:rPr>
  </w:style>
  <w:style w:type="paragraph" w:styleId="TDC3">
    <w:name w:val="toc 3"/>
    <w:basedOn w:val="Normal"/>
    <w:next w:val="Normal"/>
    <w:autoRedefine w:val="1"/>
    <w:uiPriority w:val="39"/>
    <w:unhideWhenUsed w:val="1"/>
    <w:rsid w:val="00A82C17"/>
    <w:pPr>
      <w:spacing w:after="0" w:line="240" w:lineRule="auto"/>
      <w:ind w:left="480"/>
    </w:pPr>
    <w:rPr>
      <w:rFonts w:cstheme="minorHAnsi"/>
      <w:sz w:val="20"/>
      <w:szCs w:val="20"/>
    </w:rPr>
  </w:style>
  <w:style w:type="paragraph" w:styleId="Sinespaciado">
    <w:name w:val="No Spacing"/>
    <w:link w:val="SinespaciadoCar"/>
    <w:uiPriority w:val="1"/>
    <w:qFormat w:val="1"/>
    <w:rsid w:val="00A82C17"/>
  </w:style>
  <w:style w:type="paragraph" w:styleId="Tabladeilustraciones">
    <w:name w:val="table of figures"/>
    <w:basedOn w:val="Normal"/>
    <w:next w:val="Normal"/>
    <w:autoRedefine w:val="1"/>
    <w:uiPriority w:val="99"/>
    <w:unhideWhenUsed w:val="1"/>
    <w:rsid w:val="00EF30D8"/>
    <w:pPr>
      <w:spacing w:after="0" w:line="240" w:lineRule="auto"/>
    </w:pPr>
    <w:rPr>
      <w:sz w:val="20"/>
      <w:szCs w:val="24"/>
    </w:rPr>
  </w:style>
  <w:style w:type="character" w:styleId="Hipervnculo">
    <w:name w:val="Hyperlink"/>
    <w:basedOn w:val="Fuentedeprrafopredeter"/>
    <w:uiPriority w:val="99"/>
    <w:unhideWhenUsed w:val="1"/>
    <w:rsid w:val="00EF30D8"/>
    <w:rPr>
      <w:color w:val="0563c1" w:themeColor="hyperlink"/>
      <w:u w:val="single"/>
    </w:rPr>
  </w:style>
  <w:style w:type="table" w:styleId="Tabladelista1clara-nfasis2">
    <w:name w:val="List Table 1 Light Accent 2"/>
    <w:basedOn w:val="Tablanormal"/>
    <w:uiPriority w:val="46"/>
    <w:rsid w:val="00994091"/>
    <w:tblPr>
      <w:tblStyleRowBandSize w:val="1"/>
      <w:tblStyleColBandSize w:val="1"/>
    </w:tblPr>
    <w:tblStylePr w:type="firstRow">
      <w:rPr>
        <w:b w:val="1"/>
        <w:bCs w:val="1"/>
      </w:rPr>
      <w:tblPr/>
      <w:tcPr>
        <w:tcBorders>
          <w:bottom w:color="f4b083" w:space="0" w:sz="4" w:themeColor="accent2" w:themeTint="000099" w:val="single"/>
        </w:tcBorders>
      </w:tcPr>
    </w:tblStylePr>
    <w:tblStylePr w:type="lastRow">
      <w:rPr>
        <w:b w:val="1"/>
        <w:bCs w:val="1"/>
      </w:rPr>
      <w:tblPr/>
      <w:tcPr>
        <w:tcBorders>
          <w:top w:color="f4b083" w:space="0" w:sz="4" w:themeColor="accent2" w:themeTint="000099" w:val="single"/>
        </w:tcBorders>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table" w:styleId="Tabladelista2">
    <w:name w:val="List Table 2"/>
    <w:basedOn w:val="Tablanormal"/>
    <w:uiPriority w:val="47"/>
    <w:rsid w:val="00994091"/>
    <w:tblPr>
      <w:tblStyleRowBandSize w:val="1"/>
      <w:tblStyleColBandSize w:val="1"/>
      <w:tblBorders>
        <w:top w:color="666666" w:space="0" w:sz="4" w:themeColor="text1" w:themeTint="000099" w:val="single"/>
        <w:bottom w:color="666666" w:space="0" w:sz="4" w:themeColor="text1" w:themeTint="000099" w:val="single"/>
        <w:insideH w:color="666666" w:space="0" w:sz="4" w:themeColor="tex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Tablaconcuadrcula4-nfasis5">
    <w:name w:val="Grid Table 4 Accent 5"/>
    <w:basedOn w:val="Tablanormal"/>
    <w:uiPriority w:val="49"/>
    <w:rsid w:val="00994091"/>
    <w:tblPr>
      <w:tblStyleRowBandSize w:val="1"/>
      <w:tblStyleColBandSize w:val="1"/>
      <w:tblBorders>
        <w:top w:color="8eaadb" w:space="0" w:sz="4" w:themeColor="accent5" w:themeTint="000099" w:val="single"/>
        <w:left w:color="8eaadb" w:space="0" w:sz="4" w:themeColor="accent5" w:themeTint="000099" w:val="single"/>
        <w:bottom w:color="8eaadb" w:space="0" w:sz="4" w:themeColor="accent5" w:themeTint="000099" w:val="single"/>
        <w:right w:color="8eaadb" w:space="0" w:sz="4" w:themeColor="accent5" w:themeTint="000099" w:val="single"/>
        <w:insideH w:color="8eaadb" w:space="0" w:sz="4" w:themeColor="accent5" w:themeTint="000099" w:val="single"/>
        <w:insideV w:color="8eaadb" w:space="0" w:sz="4" w:themeColor="accent5" w:themeTint="000099" w:val="single"/>
      </w:tblBorders>
    </w:tblPr>
    <w:tblStylePr w:type="firstRow">
      <w:rPr>
        <w:b w:val="1"/>
        <w:bCs w:val="1"/>
        <w:color w:val="ffffff" w:themeColor="background1"/>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space="0" w:sz="0" w:val="nil"/>
          <w:insideV w:space="0" w:sz="0" w:val="nil"/>
        </w:tcBorders>
        <w:shd w:color="auto" w:fill="4472c4" w:themeFill="accent5" w:val="clear"/>
      </w:tcPr>
    </w:tblStylePr>
    <w:tblStylePr w:type="lastRow">
      <w:rPr>
        <w:b w:val="1"/>
        <w:bCs w:val="1"/>
      </w:rPr>
      <w:tblPr/>
      <w:tcPr>
        <w:tcBorders>
          <w:top w:color="4472c4" w:space="0" w:sz="4" w:themeColor="accent5" w:val="double"/>
        </w:tcBorders>
      </w:tc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table" w:styleId="Tablaconcuadrcula4-nfasis6">
    <w:name w:val="Grid Table 4 Accent 6"/>
    <w:basedOn w:val="Tablanormal"/>
    <w:uiPriority w:val="49"/>
    <w:rsid w:val="00E500F5"/>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character" w:styleId="Nmerodelnea">
    <w:name w:val="line number"/>
    <w:basedOn w:val="Fuentedeprrafopredeter"/>
    <w:uiPriority w:val="99"/>
    <w:semiHidden w:val="1"/>
    <w:unhideWhenUsed w:val="1"/>
    <w:rsid w:val="00DB33D5"/>
  </w:style>
  <w:style w:type="table" w:styleId="Style46" w:customStyle="1">
    <w:name w:val="_Style 46"/>
    <w:basedOn w:val="Tablanormal"/>
    <w:rsid w:val="00037E62"/>
    <w:pPr>
      <w:suppressAutoHyphens w:val="0"/>
    </w:pPr>
    <w:rPr>
      <w:rFonts w:ascii="Calibri" w:cs="Calibri" w:eastAsia="Calibri" w:hAnsi="Calibri"/>
      <w:sz w:val="20"/>
      <w:szCs w:val="20"/>
      <w:lang w:eastAsia="es-MX"/>
    </w:rPr>
    <w:tblPr>
      <w:tblInd w:w="0.0" w:type="nil"/>
    </w:tblPr>
  </w:style>
  <w:style w:type="table" w:styleId="Tablaconcuadrcula5oscura-nfasis6">
    <w:name w:val="Grid Table 5 Dark Accent 6"/>
    <w:basedOn w:val="Tablanormal"/>
    <w:uiPriority w:val="50"/>
    <w:rsid w:val="00037E62"/>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70ad47"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70ad47"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70ad47"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70ad47" w:themeFill="accent6" w:val="clear"/>
      </w:tcPr>
    </w:tblStylePr>
    <w:tblStylePr w:type="band1Vert">
      <w:tblPr/>
      <w:tcPr>
        <w:shd w:color="auto" w:fill="c5e0b3" w:themeFill="accent6" w:themeFillTint="000066" w:val="clear"/>
      </w:tcPr>
    </w:tblStylePr>
    <w:tblStylePr w:type="band1Horz">
      <w:tblPr/>
      <w:tcPr>
        <w:shd w:color="auto" w:fill="c5e0b3" w:themeFill="accent6" w:themeFillTint="000066" w:val="clear"/>
      </w:tcPr>
    </w:tblStylePr>
  </w:style>
  <w:style w:type="table" w:styleId="Tabladelista3-nfasis6">
    <w:name w:val="List Table 3 Accent 6"/>
    <w:basedOn w:val="Tablanormal"/>
    <w:uiPriority w:val="48"/>
    <w:rsid w:val="00037E62"/>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val="1"/>
        <w:bCs w:val="1"/>
        <w:color w:val="ffffff" w:themeColor="background1"/>
      </w:rPr>
      <w:tblPr/>
      <w:tcPr>
        <w:shd w:color="auto" w:fill="70ad47" w:themeFill="accent6" w:val="clear"/>
      </w:tcPr>
    </w:tblStylePr>
    <w:tblStylePr w:type="lastRow">
      <w:rPr>
        <w:b w:val="1"/>
        <w:bCs w:val="1"/>
      </w:rPr>
      <w:tblPr/>
      <w:tcPr>
        <w:tcBorders>
          <w:top w:color="70ad47" w:space="0" w:sz="4" w:themeColor="accent6"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70ad47" w:space="0" w:sz="4" w:themeColor="accent6" w:val="double"/>
          <w:left w:space="0" w:sz="0" w:val="nil"/>
        </w:tcBorders>
      </w:tcPr>
    </w:tblStylePr>
    <w:tblStylePr w:type="swCell">
      <w:tblPr/>
      <w:tcPr>
        <w:tcBorders>
          <w:top w:color="70ad47" w:space="0" w:sz="4" w:themeColor="accent6" w:val="double"/>
          <w:right w:space="0" w:sz="0" w:val="nil"/>
        </w:tcBorders>
      </w:tcPr>
    </w:tblStylePr>
  </w:style>
  <w:style w:type="table" w:styleId="Tabladelista4-nfasis6">
    <w:name w:val="List Table 4 Accent 6"/>
    <w:basedOn w:val="Tablanormal"/>
    <w:uiPriority w:val="49"/>
    <w:rsid w:val="00037E62"/>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tcBorders>
        <w:shd w:color="auto" w:fill="70ad47" w:themeFill="accent6" w:val="clear"/>
      </w:tcPr>
    </w:tblStylePr>
    <w:tblStylePr w:type="lastRow">
      <w:rPr>
        <w:b w:val="1"/>
        <w:bCs w:val="1"/>
      </w:rPr>
      <w:tbl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paragraph" w:styleId="NormalWeb">
    <w:name w:val="Normal (Web)"/>
    <w:basedOn w:val="Normal"/>
    <w:uiPriority w:val="99"/>
    <w:semiHidden w:val="1"/>
    <w:unhideWhenUsed w:val="1"/>
    <w:rsid w:val="00030DAE"/>
    <w:rPr>
      <w:rFonts w:ascii="Times New Roman" w:cs="Times New Roman" w:hAnsi="Times New Roman"/>
      <w:sz w:val="24"/>
      <w:szCs w:val="24"/>
    </w:rPr>
  </w:style>
  <w:style w:type="character" w:styleId="Fuerte">
    <w:name w:val="Strong"/>
    <w:basedOn w:val="Fuentedeprrafopredeter"/>
    <w:uiPriority w:val="22"/>
    <w:qFormat w:val="1"/>
    <w:rsid w:val="00DE4A1F"/>
    <w:rPr>
      <w:b w:val="1"/>
      <w:bCs w:val="1"/>
    </w:rPr>
  </w:style>
  <w:style w:type="character" w:styleId="Mencinsinresolver">
    <w:name w:val="Unresolved Mention"/>
    <w:basedOn w:val="Fuentedeprrafopredeter"/>
    <w:uiPriority w:val="99"/>
    <w:semiHidden w:val="1"/>
    <w:unhideWhenUsed w:val="1"/>
    <w:rsid w:val="00757172"/>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color w:val="ffffff"/>
      </w:rPr>
      <w:tcPr>
        <w:tcBorders>
          <w:top w:color="70ad47" w:space="0" w:sz="4" w:val="single"/>
          <w:left w:color="70ad47" w:space="0" w:sz="4" w:val="single"/>
          <w:bottom w:color="70ad47" w:space="0" w:sz="4" w:val="single"/>
          <w:right w:color="70ad47" w:space="0" w:sz="4" w:val="single"/>
          <w:insideH w:color="000000" w:space="0" w:sz="0" w:val="nil"/>
        </w:tcBorders>
        <w:shd w:fill="70ad47" w:val="clear"/>
      </w:tcPr>
    </w:tblStylePr>
    <w:tblStylePr w:type="lastCol">
      <w:rPr>
        <w:b w:val="1"/>
        <w:bCs w:val="1"/>
      </w:rPr>
    </w:tblStylePr>
    <w:tblStylePr w:type="lastRow">
      <w:rPr>
        <w:b w:val="1"/>
        <w:bCs w:val="1"/>
      </w:rPr>
      <w:tcPr>
        <w:tcBorders>
          <w:top w:color="a8d08d" w:space="0" w:sz="4"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color w:val="ffffff"/>
      </w:rPr>
      <w:tcPr>
        <w:tcBorders>
          <w:top w:color="70ad47" w:space="0" w:sz="4" w:val="single"/>
          <w:left w:color="70ad47" w:space="0" w:sz="4" w:val="single"/>
          <w:bottom w:color="70ad47" w:space="0" w:sz="4" w:val="single"/>
          <w:right w:color="70ad47" w:space="0" w:sz="4" w:val="single"/>
          <w:insideH w:color="000000" w:space="0" w:sz="0" w:val="nil"/>
        </w:tcBorders>
        <w:shd w:fill="70ad47" w:val="clear"/>
      </w:tcPr>
    </w:tblStylePr>
    <w:tblStylePr w:type="lastCol">
      <w:rPr>
        <w:b w:val="1"/>
        <w:bCs w:val="1"/>
      </w:rPr>
    </w:tblStylePr>
    <w:tblStylePr w:type="lastRow">
      <w:rPr>
        <w:b w:val="1"/>
        <w:bCs w:val="1"/>
      </w:rPr>
      <w:tcPr>
        <w:tcBorders>
          <w:top w:color="a8d08d"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color w:val="ffffff"/>
      </w:rPr>
      <w:tcPr>
        <w:tcBorders>
          <w:top w:color="70ad47" w:space="0" w:sz="4" w:val="single"/>
          <w:left w:color="70ad47" w:space="0" w:sz="4" w:val="single"/>
          <w:bottom w:color="70ad47" w:space="0" w:sz="4" w:val="single"/>
          <w:right w:color="70ad47" w:space="0" w:sz="4" w:val="single"/>
          <w:insideH w:color="000000" w:space="0" w:sz="0" w:val="nil"/>
        </w:tcBorders>
        <w:shd w:fill="70ad47" w:val="clear"/>
      </w:tcPr>
    </w:tblStylePr>
    <w:tblStylePr w:type="lastCol">
      <w:rPr>
        <w:b w:val="1"/>
        <w:bCs w:val="1"/>
      </w:rPr>
    </w:tblStylePr>
    <w:tblStylePr w:type="lastRow">
      <w:rPr>
        <w:b w:val="1"/>
        <w:bCs w:val="1"/>
      </w:rPr>
      <w:tcPr>
        <w:tcBorders>
          <w:top w:color="a8d08d"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color w:val="ffffff"/>
      </w:rPr>
      <w:tcPr>
        <w:tcBorders>
          <w:top w:color="70ad47" w:space="0" w:sz="4" w:val="single"/>
          <w:left w:color="70ad47" w:space="0" w:sz="4" w:val="single"/>
          <w:bottom w:color="70ad47" w:space="0" w:sz="4" w:val="single"/>
          <w:right w:color="70ad47" w:space="0" w:sz="4" w:val="single"/>
          <w:insideH w:color="000000" w:space="0" w:sz="0" w:val="nil"/>
        </w:tcBorders>
        <w:shd w:fill="70ad47" w:val="clear"/>
      </w:tcPr>
    </w:tblStylePr>
    <w:tblStylePr w:type="lastCol">
      <w:rPr>
        <w:b w:val="1"/>
        <w:bCs w:val="1"/>
      </w:rPr>
    </w:tblStylePr>
    <w:tblStylePr w:type="lastRow">
      <w:rPr>
        <w:b w:val="1"/>
        <w:bCs w:val="1"/>
      </w:rPr>
      <w:tcPr>
        <w:tcBorders>
          <w:top w:color="a8d08d" w:space="0" w:sz="4"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bCs w:val="1"/>
      </w:rPr>
    </w:tblStylePr>
    <w:tblStylePr w:type="firstRow">
      <w:rPr>
        <w:b w:val="1"/>
        <w:bCs w:val="1"/>
        <w:color w:val="ffffff"/>
      </w:rPr>
      <w:tcPr>
        <w:tcBorders>
          <w:top w:color="70ad47" w:space="0" w:sz="4" w:val="single"/>
          <w:left w:color="70ad47" w:space="0" w:sz="4" w:val="single"/>
          <w:bottom w:color="70ad47" w:space="0" w:sz="4" w:val="single"/>
          <w:right w:color="70ad47" w:space="0" w:sz="4" w:val="single"/>
          <w:insideH w:color="000000" w:space="0" w:sz="0" w:val="nil"/>
        </w:tcBorders>
        <w:shd w:fill="70ad47" w:val="clear"/>
      </w:tcPr>
    </w:tblStylePr>
    <w:tblStylePr w:type="lastCol">
      <w:rPr>
        <w:b w:val="1"/>
        <w:bCs w:val="1"/>
      </w:rPr>
    </w:tblStylePr>
    <w:tblStylePr w:type="lastRow">
      <w:rPr>
        <w:b w:val="1"/>
        <w:bCs w:val="1"/>
      </w:rPr>
      <w:tcPr>
        <w:tcBorders>
          <w:top w:color="a8d08d"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wipo.int/patentscope" TargetMode="External"/><Relationship Id="rId11" Type="http://schemas.openxmlformats.org/officeDocument/2006/relationships/hyperlink" Target="https://www.epo.org" TargetMode="External"/><Relationship Id="rId10" Type="http://schemas.openxmlformats.org/officeDocument/2006/relationships/chart" Target="charts/chart3.xml"/><Relationship Id="rId21" Type="http://schemas.openxmlformats.org/officeDocument/2006/relationships/header" Target="header1.xml"/><Relationship Id="rId13" Type="http://schemas.openxmlformats.org/officeDocument/2006/relationships/hyperlink" Target="https://patents.google.com" TargetMode="External"/><Relationship Id="rId12" Type="http://schemas.openxmlformats.org/officeDocument/2006/relationships/hyperlink" Target="https://www.epo.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chart" Target="charts/chart1.xml"/><Relationship Id="rId15" Type="http://schemas.openxmlformats.org/officeDocument/2006/relationships/hyperlink" Target="https://patents.google.com" TargetMode="External"/><Relationship Id="rId14" Type="http://schemas.openxmlformats.org/officeDocument/2006/relationships/hyperlink" Target="https://patents.google.com" TargetMode="External"/><Relationship Id="rId17" Type="http://schemas.openxmlformats.org/officeDocument/2006/relationships/hyperlink" Target="https://patents.google.com" TargetMode="External"/><Relationship Id="rId16" Type="http://schemas.openxmlformats.org/officeDocument/2006/relationships/hyperlink" Target="https://patents.google.com" TargetMode="External"/><Relationship Id="rId5" Type="http://schemas.openxmlformats.org/officeDocument/2006/relationships/styles" Target="styles.xml"/><Relationship Id="rId19" Type="http://schemas.openxmlformats.org/officeDocument/2006/relationships/hyperlink" Target="https://patents.google.com" TargetMode="External"/><Relationship Id="rId6" Type="http://schemas.openxmlformats.org/officeDocument/2006/relationships/customXml" Target="../customXML/item1.xml"/><Relationship Id="rId18" Type="http://schemas.openxmlformats.org/officeDocument/2006/relationships/hyperlink" Target="https://patents.google.com" TargetMode="External"/><Relationship Id="rId7" Type="http://schemas.openxmlformats.org/officeDocument/2006/relationships/image" Target="media/image1.png"/><Relationship Id="rId8" Type="http://schemas.openxmlformats.org/officeDocument/2006/relationships/chart" Target="charts/chart2.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package" Target="../embeddings/Microsoft_Excel_Sheet1.xlsx"/></Relationships>
</file>

<file path=word/charts/_rels/chart2.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package" Target="../embeddings/Microsoft_Excel_Sheet2.xlsx"/></Relationships>
</file>

<file path=word/charts/_rels/chart3.xml.rels><?xml version="1.0" encoding="UTF-8" standalone="yes"?><Relationships xmlns="http://schemas.openxmlformats.org/package/2006/relationships"><Relationship Id="rId1" Type="http://schemas.microsoft.com/office/2011/relationships/chartStyle" Target="style3.xml"/><Relationship Id="rId2" Type="http://schemas.microsoft.com/office/2011/relationships/chartColorStyle" Target="colors3.xml"/><Relationship Id="rId3" Type="http://schemas.openxmlformats.org/officeDocument/2006/relationships/package" Target="../embeddings/Microsoft_Excel_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stacked"/>
        <c:varyColors val="0"/>
        <c:ser>
          <c:idx val="0"/>
          <c:order val="0"/>
          <c:tx>
            <c:strRef>
              <c:f>Hoja1!$B$1</c:f>
              <c:strCache>
                <c:ptCount val="1"/>
                <c:pt idx="0">
                  <c:v>No Patentes</c:v>
                </c:pt>
              </c:strCache>
            </c:strRef>
          </c:tx>
          <c:spPr>
            <a:solidFill>
              <a:schemeClr val="accent1"/>
            </a:solidFill>
            <a:ln>
              <a:noFill/>
            </a:ln>
            <a:effectLst/>
            <a:sp3d/>
          </c:spPr>
          <c:invertIfNegative val="0"/>
          <c:cat>
            <c:strRef>
              <c:f>Hoja1!$A$2:$A$7</c:f>
              <c:strCache>
                <c:ptCount val="6"/>
                <c:pt idx="0">
                  <c:v>Estados Unidos</c:v>
                </c:pt>
                <c:pt idx="1">
                  <c:v>Internacional (PCT)</c:v>
                </c:pt>
                <c:pt idx="2">
                  <c:v>Unión Europea</c:v>
                </c:pt>
                <c:pt idx="3">
                  <c:v>China</c:v>
                </c:pt>
                <c:pt idx="4">
                  <c:v>Japón</c:v>
                </c:pt>
                <c:pt idx="5">
                  <c:v>Corea del Sur</c:v>
                </c:pt>
              </c:strCache>
            </c:strRef>
          </c:cat>
          <c:val>
            <c:numRef>
              <c:f>Hoja1!$B$2:$B$7</c:f>
              <c:numCache>
                <c:formatCode>General</c:formatCode>
                <c:ptCount val="6"/>
                <c:pt idx="0">
                  <c:v>4</c:v>
                </c:pt>
                <c:pt idx="1">
                  <c:v>2</c:v>
                </c:pt>
                <c:pt idx="2">
                  <c:v>1</c:v>
                </c:pt>
                <c:pt idx="3">
                  <c:v>1</c:v>
                </c:pt>
                <c:pt idx="4">
                  <c:v>1</c:v>
                </c:pt>
                <c:pt idx="5">
                  <c:v>1</c:v>
                </c:pt>
              </c:numCache>
            </c:numRef>
          </c:val>
          <c:extLst>
            <c:ext xmlns:c16="http://schemas.microsoft.com/office/drawing/2014/chart" uri="{C3380CC4-5D6E-409C-BE32-E72D297353CC}">
              <c16:uniqueId val="{00000000-A425-433E-A412-E4B0D49507E6}"/>
            </c:ext>
          </c:extLst>
        </c:ser>
        <c:dLbls>
          <c:showLegendKey val="0"/>
          <c:showVal val="0"/>
          <c:showCatName val="0"/>
          <c:showSerName val="0"/>
          <c:showPercent val="0"/>
          <c:showBubbleSize val="0"/>
        </c:dLbls>
        <c:gapWidth val="150"/>
        <c:shape val="box"/>
        <c:axId val="1637453760"/>
        <c:axId val="1637454720"/>
        <c:axId val="0"/>
      </c:bar3DChart>
      <c:catAx>
        <c:axId val="163745376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MX"/>
                  <a:t>País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637454720"/>
        <c:crosses val="autoZero"/>
        <c:auto val="1"/>
        <c:lblAlgn val="ctr"/>
        <c:lblOffset val="100"/>
        <c:noMultiLvlLbl val="0"/>
      </c:catAx>
      <c:valAx>
        <c:axId val="163745472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6374537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stacked"/>
        <c:varyColors val="0"/>
        <c:ser>
          <c:idx val="0"/>
          <c:order val="0"/>
          <c:tx>
            <c:strRef>
              <c:f>Hoja1!$B$1</c:f>
              <c:strCache>
                <c:ptCount val="1"/>
                <c:pt idx="0">
                  <c:v>"Patentes" por clasificación</c:v>
                </c:pt>
              </c:strCache>
            </c:strRef>
          </c:tx>
          <c:spPr>
            <a:solidFill>
              <a:schemeClr val="accent1"/>
            </a:solidFill>
            <a:ln>
              <a:noFill/>
            </a:ln>
            <a:effectLst/>
            <a:sp3d/>
          </c:spPr>
          <c:invertIfNegative val="0"/>
          <c:cat>
            <c:strRef>
              <c:f>Hoja1!$A$2:$A$6</c:f>
              <c:strCache>
                <c:ptCount val="5"/>
                <c:pt idx="0">
                  <c:v>Sistemas de monitoreo respiratorio con ML/IA</c:v>
                </c:pt>
                <c:pt idx="1">
                  <c:v>Dispositivos IoT y sensores médicos portátiles</c:v>
                </c:pt>
                <c:pt idx="2">
                  <c:v>Plataformas de telemedicina y gestión digital</c:v>
                </c:pt>
                <c:pt idx="3">
                  <c:v>Inhaladores inteligentes y adherencia</c:v>
                </c:pt>
                <c:pt idx="4">
                  <c:v>Análisis de patrones respiratorios</c:v>
                </c:pt>
              </c:strCache>
            </c:strRef>
          </c:cat>
          <c:val>
            <c:numRef>
              <c:f>Hoja1!$B$2:$B$6</c:f>
              <c:numCache>
                <c:formatCode>General</c:formatCode>
                <c:ptCount val="5"/>
                <c:pt idx="0">
                  <c:v>4</c:v>
                </c:pt>
                <c:pt idx="1">
                  <c:v>3</c:v>
                </c:pt>
                <c:pt idx="2">
                  <c:v>1</c:v>
                </c:pt>
                <c:pt idx="3">
                  <c:v>1</c:v>
                </c:pt>
                <c:pt idx="4">
                  <c:v>1</c:v>
                </c:pt>
              </c:numCache>
            </c:numRef>
          </c:val>
          <c:extLst>
            <c:ext xmlns:c16="http://schemas.microsoft.com/office/drawing/2014/chart" uri="{C3380CC4-5D6E-409C-BE32-E72D297353CC}">
              <c16:uniqueId val="{00000000-45E0-458F-B225-DFEE15E63917}"/>
            </c:ext>
          </c:extLst>
        </c:ser>
        <c:dLbls>
          <c:showLegendKey val="0"/>
          <c:showVal val="0"/>
          <c:showCatName val="0"/>
          <c:showSerName val="0"/>
          <c:showPercent val="0"/>
          <c:showBubbleSize val="0"/>
        </c:dLbls>
        <c:gapWidth val="150"/>
        <c:shape val="box"/>
        <c:axId val="1336975424"/>
        <c:axId val="1640843776"/>
        <c:axId val="0"/>
      </c:bar3DChart>
      <c:catAx>
        <c:axId val="133697542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MX"/>
                  <a:t> Clasificación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640843776"/>
        <c:crosses val="autoZero"/>
        <c:auto val="1"/>
        <c:lblAlgn val="ctr"/>
        <c:lblOffset val="100"/>
        <c:noMultiLvlLbl val="0"/>
      </c:catAx>
      <c:valAx>
        <c:axId val="16408437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3369754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stacked"/>
        <c:varyColors val="0"/>
        <c:ser>
          <c:idx val="0"/>
          <c:order val="0"/>
          <c:tx>
            <c:strRef>
              <c:f>Hoja1!$B$1</c:f>
              <c:strCache>
                <c:ptCount val="1"/>
                <c:pt idx="0">
                  <c:v>No Patentes</c:v>
                </c:pt>
              </c:strCache>
            </c:strRef>
          </c:tx>
          <c:spPr>
            <a:solidFill>
              <a:schemeClr val="accent1"/>
            </a:solidFill>
            <a:ln>
              <a:noFill/>
            </a:ln>
            <a:effectLst/>
            <a:sp3d/>
          </c:spPr>
          <c:invertIfNegative val="0"/>
          <c:cat>
            <c:strRef>
              <c:f>Hoja1!$A$2:$A$5</c:f>
              <c:strCache>
                <c:ptCount val="4"/>
                <c:pt idx="0">
                  <c:v>Abandonada</c:v>
                </c:pt>
                <c:pt idx="1">
                  <c:v>Activa</c:v>
                </c:pt>
                <c:pt idx="2">
                  <c:v>Descontinuada</c:v>
                </c:pt>
                <c:pt idx="3">
                  <c:v>Pendiente</c:v>
                </c:pt>
              </c:strCache>
            </c:strRef>
          </c:cat>
          <c:val>
            <c:numRef>
              <c:f>Hoja1!$B$2:$B$5</c:f>
              <c:numCache>
                <c:formatCode>General</c:formatCode>
                <c:ptCount val="4"/>
                <c:pt idx="0">
                  <c:v>1</c:v>
                </c:pt>
                <c:pt idx="1">
                  <c:v>8</c:v>
                </c:pt>
                <c:pt idx="2">
                  <c:v>0</c:v>
                </c:pt>
                <c:pt idx="3">
                  <c:v>1</c:v>
                </c:pt>
              </c:numCache>
            </c:numRef>
          </c:val>
          <c:extLst>
            <c:ext xmlns:c16="http://schemas.microsoft.com/office/drawing/2014/chart" uri="{C3380CC4-5D6E-409C-BE32-E72D297353CC}">
              <c16:uniqueId val="{00000000-D888-4F85-9302-F469655D42C6}"/>
            </c:ext>
          </c:extLst>
        </c:ser>
        <c:dLbls>
          <c:showLegendKey val="0"/>
          <c:showVal val="0"/>
          <c:showCatName val="0"/>
          <c:showSerName val="0"/>
          <c:showPercent val="0"/>
          <c:showBubbleSize val="0"/>
        </c:dLbls>
        <c:gapWidth val="150"/>
        <c:shape val="box"/>
        <c:axId val="480843008"/>
        <c:axId val="480844448"/>
        <c:axId val="0"/>
      </c:bar3DChart>
      <c:catAx>
        <c:axId val="48084300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MX"/>
                  <a:t>Estatus</a:t>
                </a:r>
                <a:r>
                  <a:rPr lang="es-MX" baseline="0"/>
                  <a:t> de la patente</a:t>
                </a:r>
                <a:endParaRPr lang="es-MX"/>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80844448"/>
        <c:crosses val="autoZero"/>
        <c:auto val="1"/>
        <c:lblAlgn val="ctr"/>
        <c:lblOffset val="100"/>
        <c:noMultiLvlLbl val="0"/>
      </c:catAx>
      <c:valAx>
        <c:axId val="48084444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80843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D6qnkrnrkMUKWnG92iB7EN/q+A==">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2024-02-23T20:36:00Z</dcterms:created>
  <dc:creator>DISEÑO;Luis Rolando Guarneros Nolasco</dc:creator>
</cp:coreProperties>
</file>