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jc w:val="center"/>
      </w:pPr>
      <w:r>
        <w:rPr>
          <w:rFonts w:ascii="Calibri" w:cs="Calibri" w:eastAsia="Calibri" w:hAnsi="Calibri"/>
          <w:b/>
          <w:bCs/>
          <w:color w:val="2a78d6"/>
          <w:sz w:val="72"/>
          <w:szCs w:val="72"/>
        </w:rPr>
        <w:t xml:space="preserve">APEX</w:t>
      </w:r>
    </w:p>
    <w:p>
      <w:pPr>
        <w:spacing w:after="60" w:before="120"/>
        <w:jc w:val="center"/>
      </w:pPr>
      <w:r>
        <w:rPr>
          <w:rFonts w:ascii="Calibri" w:cs="Calibri" w:eastAsia="Calibri" w:hAnsi="Calibri"/>
          <w:color w:val="52514e"/>
          <w:sz w:val="30"/>
          <w:szCs w:val="30"/>
        </w:rPr>
        <w:t xml:space="preserve">Agentic Penetration and Exploitation Framework</w:t>
      </w:r>
    </w:p>
    <w:p>
      <w:pPr>
        <w:spacing w:before="400"/>
        <w:jc w:val="center"/>
      </w:pPr>
      <w:r>
        <w:rPr>
          <w:rFonts w:ascii="Calibri" w:cs="Calibri" w:eastAsia="Calibri" w:hAnsi="Calibri"/>
          <w:b/>
          <w:bCs/>
          <w:sz w:val="36"/>
          <w:szCs w:val="36"/>
        </w:rPr>
        <w:t xml:space="preserve">Architecture, Build Process &amp; Technology Stack</w:t>
      </w:r>
    </w:p>
    <w:p>
      <w:pPr>
        <w:spacing w:before="200"/>
        <w:jc w:val="center"/>
      </w:pPr>
      <w:r>
        <w:rPr>
          <w:rFonts w:ascii="Calibri" w:cs="Calibri" w:eastAsia="Calibri" w:hAnsi="Calibri"/>
          <w:i/>
          <w:iCs/>
          <w:color w:val="52514e"/>
          <w:sz w:val="22"/>
          <w:szCs w:val="22"/>
        </w:rPr>
        <w:t xml:space="preserve">How this prototype was designed, what it's made of, and how it was built and verified</w:t>
      </w:r>
    </w:p>
    <w:p>
      <w:pPr>
        <w:spacing w:before="800"/>
        <w:jc w:val="center"/>
      </w:pPr>
      <w:r>
        <w:rPr>
          <w:rFonts w:ascii="Calibri" w:cs="Calibri" w:eastAsia="Calibri" w:hAnsi="Calibri"/>
          <w:color w:val="52514e"/>
          <w:sz w:val="20"/>
          <w:szCs w:val="20"/>
        </w:rPr>
        <w:t xml:space="preserve">Final Year Project — BS Cybersecurity</w:t>
      </w:r>
    </w:p>
    <w:p>
      <w:pPr>
        <w:spacing w:before="60"/>
        <w:jc w:val="center"/>
      </w:pPr>
      <w:r>
        <w:rPr>
          <w:rFonts w:ascii="Calibri" w:cs="Calibri" w:eastAsia="Calibri" w:hAnsi="Calibri"/>
          <w:color w:val="52514e"/>
          <w:sz w:val="20"/>
          <w:szCs w:val="20"/>
        </w:rPr>
        <w:t xml:space="preserve">Prototype build — September 2026</w:t>
      </w:r>
    </w:p>
    <w:p>
      <w:r>
        <w:br w:type="page"/>
      </w:r>
    </w:p>
    <w:p>
      <w:pPr>
        <w:pStyle w:val="Heading1"/>
        <w:spacing w:after="160" w:before="360"/>
      </w:pPr>
      <w:r>
        <w:t xml:space="preserve">1. Project Overview</w:t>
      </w:r>
    </w:p>
    <w:p>
      <w:pPr>
        <w:spacing w:after="200" w:line="300"/>
      </w:pPr>
      <w:r>
        <w:rPr>
          <w:rFonts w:ascii="Calibri" w:cs="Calibri" w:eastAsia="Calibri" w:hAnsi="Calibri"/>
          <w:sz w:val="22"/>
          <w:szCs w:val="22"/>
        </w:rPr>
        <w:t xml:space="preserve">APEX is a prototype demonstrating the core idea behind a larger Final Year Project: an autonomous red-teaming framework that tests LLM-based enterprise AI agents for prompt-injection vulnerabilities. The full FYP, described in APEX_FYP_Master_Document_v2.pdf, is a seven-month, three-person build involving LangGraph orchestration, a vector database, a fine-tuned classifier, five attack modules, integration with five published academic benchmarks, and a research-paper-scale dataset release.</w:t>
      </w:r>
    </w:p>
    <w:p>
      <w:pPr>
        <w:spacing w:after="200" w:line="300"/>
      </w:pPr>
      <w:r>
        <w:rPr>
          <w:rFonts w:ascii="Calibri" w:cs="Calibri" w:eastAsia="Calibri" w:hAnsi="Calibri"/>
          <w:sz w:val="22"/>
          <w:szCs w:val="22"/>
        </w:rPr>
        <w:t xml:space="preserve">This prototype implements one demoable slice of that vision, built free, fully local, and within an 8GB-RAM, no-GPU budget: black-box reconnaissance, two attack modules (direct and indirect prompt injection), a rule-based classification engine, a sequential (non-adaptive) attack loop, persisted history, downloadable reports, and a Streamlit dashboard. Its purpose is to prove the core attack loop works end to end, not to be a smaller version of every feature in the final system.</w:t>
      </w:r>
    </w:p>
    <w:p>
      <w:pPr>
        <w:pBdr>
          <w:left w:val="single" w:color="2a78d6" w:sz="24"/>
        </w:pBdr>
        <w:shd w:fill="eef4fc" w:val="clear"/>
        <w:spacing w:after="200" w:before="120"/>
        <w:ind w:left="200"/>
      </w:pPr>
      <w:r>
        <w:rPr>
          <w:rFonts w:ascii="Calibri" w:cs="Calibri" w:eastAsia="Calibri" w:hAnsi="Calibri"/>
          <w:b/>
          <w:bCs/>
          <w:color w:val="2a78d6"/>
          <w:sz w:val="22"/>
          <w:szCs w:val="22"/>
        </w:rPr>
        <w:t xml:space="preserve">Scope: </w:t>
      </w:r>
      <w:r>
        <w:rPr>
          <w:rFonts w:ascii="Calibri" w:cs="Calibri" w:eastAsia="Calibri" w:hAnsi="Calibri"/>
          <w:sz w:val="22"/>
          <w:szCs w:val="22"/>
        </w:rPr>
        <w:t xml:space="preserve">A self-built, intentionally under-guarded target agent called VICTIM stands in for a real enterprise assistant throughout. Nothing in this prototype connects to, tests, or affects any real third-party system.</w:t>
      </w:r>
    </w:p>
    <w:p>
      <w:pPr>
        <w:pStyle w:val="Heading1"/>
        <w:spacing w:after="160" w:before="360"/>
      </w:pPr>
      <w:r>
        <w:t xml:space="preserve">2. System Architecture</w:t>
      </w:r>
    </w:p>
    <w:p>
      <w:pPr>
        <w:spacing w:after="200" w:line="300"/>
      </w:pPr>
      <w:r>
        <w:rPr>
          <w:rFonts w:ascii="Calibri" w:cs="Calibri" w:eastAsia="Calibri" w:hAnsi="Calibri"/>
          <w:sz w:val="22"/>
          <w:szCs w:val="22"/>
        </w:rPr>
        <w:t xml:space="preserve">The system is split into two independent halves that only ever talk to each other through one narrow interface, which keeps the design honest about what is attacker code and what is target code.</w:t>
      </w:r>
    </w:p>
    <w:p>
      <w:pPr>
        <w:pStyle w:val="Heading2"/>
        <w:spacing w:after="120" w:before="280"/>
      </w:pPr>
      <w:r>
        <w:t xml:space="preserve">2.1 VICTIM — the target</w:t>
      </w:r>
    </w:p>
    <w:p>
      <w:pPr>
        <w:spacing w:after="200" w:line="300"/>
      </w:pPr>
      <w:r>
        <w:rPr>
          <w:rFonts w:ascii="Calibri" w:cs="Calibri" w:eastAsia="Calibri" w:hAnsi="Calibri"/>
          <w:sz w:val="22"/>
          <w:szCs w:val="22"/>
        </w:rPr>
        <w:t xml:space="preserve">VICTIM is a plain Python class exposing a single method, chat(message) -&gt; response. Internally it holds a system prompt, a small keyword-based knowledge retriever over a handful of mock company documents, a mock SQLite employee table, a mock email tool that only ever logs to a local table, and a mock file reader. Its logic is simple rule-based keyword routing, not an LLM reasoning loop — a deliberate choice that keeps the prototype's two demonstrated vulnerabilities (no document-sensitivity access control, and treating document-embedded instructions with the same authority as direct user requests) clear, reproducible, and easy to explain.</w:t>
      </w:r>
    </w:p>
    <w:p>
      <w:pPr>
        <w:pStyle w:val="Heading2"/>
        <w:spacing w:after="120" w:before="280"/>
      </w:pPr>
      <w:r>
        <w:t xml:space="preserve">2.2 APEX — the attacker</w:t>
      </w:r>
    </w:p>
    <w:p>
      <w:pPr>
        <w:spacing w:after="200" w:line="300"/>
      </w:pPr>
      <w:r>
        <w:rPr>
          <w:rFonts w:ascii="Calibri" w:cs="Calibri" w:eastAsia="Calibri" w:hAnsi="Calibri"/>
          <w:sz w:val="22"/>
          <w:szCs w:val="22"/>
        </w:rPr>
        <w:t xml:space="preserve">APEX is a set of Python modules that profile VICTIM, send it attack payloads and documents, classify what comes back, and turn the results into findings, persisted history, and reports. APEX never looks at VICTIM's source code or internal state to do this — every capability it discovers and every finding it raises comes from observing VICTIM's behavior from the outside, the same way a real red-teaming tool would have to treat a real remote target.</w:t>
      </w:r>
    </w:p>
    <w:p>
      <w:pPr>
        <w:pStyle w:val="Heading2"/>
        <w:spacing w:after="120" w:before="280"/>
      </w:pPr>
      <w:r>
        <w:t xml:space="preserve">2.3 The TargetConnector boundary</w:t>
      </w:r>
    </w:p>
    <w:p>
      <w:pPr>
        <w:spacing w:after="200" w:line="300"/>
      </w:pPr>
      <w:r>
        <w:rPr>
          <w:rFonts w:ascii="Calibri" w:cs="Calibri" w:eastAsia="Calibri" w:hAnsi="Calibri"/>
          <w:sz w:val="22"/>
          <w:szCs w:val="22"/>
        </w:rPr>
        <w:t xml:space="preserve">The one interface that matters architecturally is TargetConnector, an abstract class with profile() and send(payload) methods. This prototype ships exactly one implementation, LocalVictimConnector, which wraps an in-process VICTIM instance — a deliberate scope decision to avoid standing up a web server for a demo. Because every attack, classification, and reporting module only ever talks to a TargetConnector, a future HTTPConnector implementing the same interface could point APEX at a real remote agent's API with no changes anywhere else in the codebase.</w:t>
      </w:r>
    </w:p>
    <w:p>
      <w:pPr>
        <w:spacing w:after="200"/>
      </w:pPr>
    </w:p>
    <w:p>
      <w:pPr>
        <w:pStyle w:val="Heading1"/>
        <w:spacing w:after="160" w:before="360"/>
      </w:pPr>
      <w:r>
        <w:t xml:space="preserve">3. Technology Stack</w:t>
      </w:r>
    </w:p>
    <w:p>
      <w:pPr>
        <w:spacing w:after="200" w:line="300"/>
      </w:pPr>
      <w:r>
        <w:rPr>
          <w:rFonts w:ascii="Calibri" w:cs="Calibri" w:eastAsia="Calibri" w:hAnsi="Calibri"/>
          <w:sz w:val="22"/>
          <w:szCs w:val="22"/>
        </w:rPr>
        <w:t xml:space="preserve">Every choice below was made against one constraint: the whole system must run free, fully local, and comfortably on an ordinary 8GB-RAM laptop with no GPU.</w:t>
      </w:r>
    </w:p>
    <w:tbl>
      <w:tblPr>
        <w:tblW w:type="dxa" w:w="10700"/>
        <w:tblBorders>
          <w:top w:val="single" w:color="auto" w:sz="4"/>
          <w:left w:val="single" w:color="auto" w:sz="4"/>
          <w:bottom w:val="single" w:color="auto" w:sz="4"/>
          <w:right w:val="single" w:color="auto" w:sz="4"/>
          <w:insideH w:val="single" w:color="auto" w:sz="4"/>
          <w:insideV w:val="single" w:color="auto" w:sz="4"/>
        </w:tblBorders>
      </w:tblPr>
      <w:tblGrid>
        <w:gridCol w:w="2000"/>
        <w:gridCol w:w="3300"/>
        <w:gridCol w:w="5400"/>
      </w:tblGrid>
      <w:tr>
        <w:tc>
          <w:tcPr>
            <w:tcW w:type="dxa" w:w="2000"/>
            <w:shd w:fill="1a1a19" w:val="clear"/>
            <w:tcMar>
              <w:top w:type="dxa" w:w="100"/>
              <w:left w:type="dxa" w:w="120"/>
              <w:bottom w:type="dxa" w:w="100"/>
              <w:right w:type="dxa" w:w="120"/>
            </w:tcMar>
          </w:tcPr>
          <w:p>
            <w:r>
              <w:rPr>
                <w:rFonts w:ascii="Calibri" w:cs="Calibri" w:eastAsia="Calibri" w:hAnsi="Calibri"/>
                <w:b/>
                <w:bCs/>
                <w:color w:val="ffffff"/>
                <w:sz w:val="20"/>
                <w:szCs w:val="20"/>
              </w:rPr>
              <w:t xml:space="preserve">Layer</w:t>
            </w:r>
          </w:p>
        </w:tc>
        <w:tc>
          <w:tcPr>
            <w:tcW w:type="dxa" w:w="3300"/>
            <w:shd w:fill="1a1a19" w:val="clear"/>
            <w:tcMar>
              <w:top w:type="dxa" w:w="100"/>
              <w:left w:type="dxa" w:w="120"/>
              <w:bottom w:type="dxa" w:w="100"/>
              <w:right w:type="dxa" w:w="120"/>
            </w:tcMar>
          </w:tcPr>
          <w:p>
            <w:r>
              <w:rPr>
                <w:rFonts w:ascii="Calibri" w:cs="Calibri" w:eastAsia="Calibri" w:hAnsi="Calibri"/>
                <w:b/>
                <w:bCs/>
                <w:color w:val="ffffff"/>
                <w:sz w:val="20"/>
                <w:szCs w:val="20"/>
              </w:rPr>
              <w:t xml:space="preserve">Technology</w:t>
            </w:r>
          </w:p>
        </w:tc>
        <w:tc>
          <w:tcPr>
            <w:tcW w:type="dxa" w:w="5400"/>
            <w:shd w:fill="1a1a19" w:val="clear"/>
            <w:tcMar>
              <w:top w:type="dxa" w:w="100"/>
              <w:left w:type="dxa" w:w="120"/>
              <w:bottom w:type="dxa" w:w="100"/>
              <w:right w:type="dxa" w:w="120"/>
            </w:tcMar>
          </w:tcPr>
          <w:p>
            <w:r>
              <w:rPr>
                <w:rFonts w:ascii="Calibri" w:cs="Calibri" w:eastAsia="Calibri" w:hAnsi="Calibri"/>
                <w:b/>
                <w:bCs/>
                <w:color w:val="ffffff"/>
                <w:sz w:val="20"/>
                <w:szCs w:val="20"/>
              </w:rPr>
              <w:t xml:space="preserve">Why</w:t>
            </w:r>
          </w:p>
        </w:tc>
      </w:tr>
      <w:tr>
        <w:tc>
          <w:tcPr>
            <w:tcW w:type="dxa" w:w="2000"/>
            <w:shd w:fill="ffffff" w:val="clear"/>
            <w:tcMar>
              <w:top w:type="dxa" w:w="100"/>
              <w:left w:type="dxa" w:w="120"/>
              <w:bottom w:type="dxa" w:w="100"/>
              <w:right w:type="dxa" w:w="120"/>
            </w:tcMar>
          </w:tcPr>
          <w:p>
            <w:r>
              <w:rPr>
                <w:rFonts w:ascii="Consolas" w:cs="Consolas" w:eastAsia="Consolas" w:hAnsi="Consolas"/>
                <w:b w:val="false"/>
                <w:bCs w:val="false"/>
                <w:color w:val="0b0b0b"/>
                <w:sz w:val="20"/>
                <w:szCs w:val="20"/>
              </w:rPr>
              <w:t xml:space="preserve">Language</w:t>
            </w:r>
          </w:p>
        </w:tc>
        <w:tc>
          <w:tcPr>
            <w:tcW w:type="dxa" w:w="3300"/>
            <w:shd w:fill="ffffff" w:val="clear"/>
            <w:tcMar>
              <w:top w:type="dxa" w:w="100"/>
              <w:left w:type="dxa" w:w="120"/>
              <w:bottom w:type="dxa" w:w="100"/>
              <w:right w:type="dxa" w:w="120"/>
            </w:tcMar>
          </w:tcPr>
          <w:p>
            <w:r>
              <w:rPr>
                <w:rFonts w:ascii="Calibri" w:cs="Calibri" w:eastAsia="Calibri" w:hAnsi="Calibri"/>
                <w:b w:val="false"/>
                <w:bCs w:val="false"/>
                <w:color w:val="0b0b0b"/>
                <w:sz w:val="20"/>
                <w:szCs w:val="20"/>
              </w:rPr>
              <w:t xml:space="preserve">Python 3.11</w:t>
            </w:r>
          </w:p>
        </w:tc>
        <w:tc>
          <w:tcPr>
            <w:tcW w:type="dxa" w:w="5400"/>
            <w:shd w:fill="ffffff" w:val="clear"/>
            <w:tcMar>
              <w:top w:type="dxa" w:w="100"/>
              <w:left w:type="dxa" w:w="120"/>
              <w:bottom w:type="dxa" w:w="100"/>
              <w:right w:type="dxa" w:w="120"/>
            </w:tcMar>
          </w:tcPr>
          <w:p>
            <w:r>
              <w:rPr>
                <w:rFonts w:ascii="Calibri" w:cs="Calibri" w:eastAsia="Calibri" w:hAnsi="Calibri"/>
                <w:b w:val="false"/>
                <w:bCs w:val="false"/>
                <w:color w:val="0b0b0b"/>
                <w:sz w:val="20"/>
                <w:szCs w:val="20"/>
              </w:rPr>
              <w:t xml:space="preserve">Fast to write, easy to test, no build step — matches the project's free/local scope.</w:t>
            </w:r>
          </w:p>
        </w:tc>
      </w:tr>
      <w:tr>
        <w:tc>
          <w:tcPr>
            <w:tcW w:type="dxa" w:w="2000"/>
            <w:shd w:fill="f5f5f3" w:val="clear"/>
            <w:tcMar>
              <w:top w:type="dxa" w:w="100"/>
              <w:left w:type="dxa" w:w="120"/>
              <w:bottom w:type="dxa" w:w="100"/>
              <w:right w:type="dxa" w:w="120"/>
            </w:tcMar>
          </w:tcPr>
          <w:p>
            <w:r>
              <w:rPr>
                <w:rFonts w:ascii="Consolas" w:cs="Consolas" w:eastAsia="Consolas" w:hAnsi="Consolas"/>
                <w:b w:val="false"/>
                <w:bCs w:val="false"/>
                <w:color w:val="0b0b0b"/>
                <w:sz w:val="20"/>
                <w:szCs w:val="20"/>
              </w:rPr>
              <w:t xml:space="preserve">Dashboard UI</w:t>
            </w:r>
          </w:p>
        </w:tc>
        <w:tc>
          <w:tcPr>
            <w:tcW w:type="dxa" w:w="3300"/>
            <w:shd w:fill="f5f5f3" w:val="clear"/>
            <w:tcMar>
              <w:top w:type="dxa" w:w="100"/>
              <w:left w:type="dxa" w:w="120"/>
              <w:bottom w:type="dxa" w:w="100"/>
              <w:right w:type="dxa" w:w="120"/>
            </w:tcMar>
          </w:tcPr>
          <w:p>
            <w:r>
              <w:rPr>
                <w:rFonts w:ascii="Calibri" w:cs="Calibri" w:eastAsia="Calibri" w:hAnsi="Calibri"/>
                <w:b w:val="false"/>
                <w:bCs w:val="false"/>
                <w:color w:val="0b0b0b"/>
                <w:sz w:val="20"/>
                <w:szCs w:val="20"/>
              </w:rPr>
              <w:t xml:space="preserve">Streamlit 1.6x</w:t>
            </w:r>
          </w:p>
        </w:tc>
        <w:tc>
          <w:tcPr>
            <w:tcW w:type="dxa" w:w="5400"/>
            <w:shd w:fill="f5f5f3" w:val="clear"/>
            <w:tcMar>
              <w:top w:type="dxa" w:w="100"/>
              <w:left w:type="dxa" w:w="120"/>
              <w:bottom w:type="dxa" w:w="100"/>
              <w:right w:type="dxa" w:w="120"/>
            </w:tcMar>
          </w:tcPr>
          <w:p>
            <w:r>
              <w:rPr>
                <w:rFonts w:ascii="Calibri" w:cs="Calibri" w:eastAsia="Calibri" w:hAnsi="Calibri"/>
                <w:b w:val="false"/>
                <w:bCs w:val="false"/>
                <w:color w:val="0b0b0b"/>
                <w:sz w:val="20"/>
                <w:szCs w:val="20"/>
              </w:rPr>
              <w:t xml:space="preserve">Turns a Python script into a browser UI with no HTML/JS/CSS to hand-write; well suited to a demo-focused prototype.</w:t>
            </w:r>
          </w:p>
        </w:tc>
      </w:tr>
      <w:tr>
        <w:tc>
          <w:tcPr>
            <w:tcW w:type="dxa" w:w="2000"/>
            <w:shd w:fill="ffffff" w:val="clear"/>
            <w:tcMar>
              <w:top w:type="dxa" w:w="100"/>
              <w:left w:type="dxa" w:w="120"/>
              <w:bottom w:type="dxa" w:w="100"/>
              <w:right w:type="dxa" w:w="120"/>
            </w:tcMar>
          </w:tcPr>
          <w:p>
            <w:r>
              <w:rPr>
                <w:rFonts w:ascii="Consolas" w:cs="Consolas" w:eastAsia="Consolas" w:hAnsi="Consolas"/>
                <w:b w:val="false"/>
                <w:bCs w:val="false"/>
                <w:color w:val="0b0b0b"/>
                <w:sz w:val="20"/>
                <w:szCs w:val="20"/>
              </w:rPr>
              <w:t xml:space="preserve">Charts</w:t>
            </w:r>
          </w:p>
        </w:tc>
        <w:tc>
          <w:tcPr>
            <w:tcW w:type="dxa" w:w="3300"/>
            <w:shd w:fill="ffffff" w:val="clear"/>
            <w:tcMar>
              <w:top w:type="dxa" w:w="100"/>
              <w:left w:type="dxa" w:w="120"/>
              <w:bottom w:type="dxa" w:w="100"/>
              <w:right w:type="dxa" w:w="120"/>
            </w:tcMar>
          </w:tcPr>
          <w:p>
            <w:r>
              <w:rPr>
                <w:rFonts w:ascii="Calibri" w:cs="Calibri" w:eastAsia="Calibri" w:hAnsi="Calibri"/>
                <w:b w:val="false"/>
                <w:bCs w:val="false"/>
                <w:color w:val="0b0b0b"/>
                <w:sz w:val="20"/>
                <w:szCs w:val="20"/>
              </w:rPr>
              <w:t xml:space="preserve">Plotly (graph_objects)</w:t>
            </w:r>
          </w:p>
        </w:tc>
        <w:tc>
          <w:tcPr>
            <w:tcW w:type="dxa" w:w="5400"/>
            <w:shd w:fill="ffffff" w:val="clear"/>
            <w:tcMar>
              <w:top w:type="dxa" w:w="100"/>
              <w:left w:type="dxa" w:w="120"/>
              <w:bottom w:type="dxa" w:w="100"/>
              <w:right w:type="dxa" w:w="120"/>
            </w:tcMar>
          </w:tcPr>
          <w:p>
            <w:r>
              <w:rPr>
                <w:rFonts w:ascii="Calibri" w:cs="Calibri" w:eastAsia="Calibri" w:hAnsi="Calibri"/>
                <w:b w:val="false"/>
                <w:bCs w:val="false"/>
                <w:color w:val="0b0b0b"/>
                <w:sz w:val="20"/>
                <w:szCs w:val="20"/>
              </w:rPr>
              <w:t xml:space="preserve">Interactive, hoverable charts embeddable directly in Streamlit; used with a validated, colorblind-safe color palette rather than default colors.</w:t>
            </w:r>
          </w:p>
        </w:tc>
      </w:tr>
      <w:tr>
        <w:tc>
          <w:tcPr>
            <w:tcW w:type="dxa" w:w="2000"/>
            <w:shd w:fill="f5f5f3" w:val="clear"/>
            <w:tcMar>
              <w:top w:type="dxa" w:w="100"/>
              <w:left w:type="dxa" w:w="120"/>
              <w:bottom w:type="dxa" w:w="100"/>
              <w:right w:type="dxa" w:w="120"/>
            </w:tcMar>
          </w:tcPr>
          <w:p>
            <w:r>
              <w:rPr>
                <w:rFonts w:ascii="Consolas" w:cs="Consolas" w:eastAsia="Consolas" w:hAnsi="Consolas"/>
                <w:b w:val="false"/>
                <w:bCs w:val="false"/>
                <w:color w:val="0b0b0b"/>
                <w:sz w:val="20"/>
                <w:szCs w:val="20"/>
              </w:rPr>
              <w:t xml:space="preserve">Persistence</w:t>
            </w:r>
          </w:p>
        </w:tc>
        <w:tc>
          <w:tcPr>
            <w:tcW w:type="dxa" w:w="3300"/>
            <w:shd w:fill="f5f5f3" w:val="clear"/>
            <w:tcMar>
              <w:top w:type="dxa" w:w="100"/>
              <w:left w:type="dxa" w:w="120"/>
              <w:bottom w:type="dxa" w:w="100"/>
              <w:right w:type="dxa" w:w="120"/>
            </w:tcMar>
          </w:tcPr>
          <w:p>
            <w:r>
              <w:rPr>
                <w:rFonts w:ascii="Calibri" w:cs="Calibri" w:eastAsia="Calibri" w:hAnsi="Calibri"/>
                <w:b w:val="false"/>
                <w:bCs w:val="false"/>
                <w:color w:val="0b0b0b"/>
                <w:sz w:val="20"/>
                <w:szCs w:val="20"/>
              </w:rPr>
              <w:t xml:space="preserve">SQLite (stdlib sqlite3)</w:t>
            </w:r>
          </w:p>
        </w:tc>
        <w:tc>
          <w:tcPr>
            <w:tcW w:type="dxa" w:w="5400"/>
            <w:shd w:fill="f5f5f3" w:val="clear"/>
            <w:tcMar>
              <w:top w:type="dxa" w:w="100"/>
              <w:left w:type="dxa" w:w="120"/>
              <w:bottom w:type="dxa" w:w="100"/>
              <w:right w:type="dxa" w:w="120"/>
            </w:tcMar>
          </w:tcPr>
          <w:p>
            <w:r>
              <w:rPr>
                <w:rFonts w:ascii="Calibri" w:cs="Calibri" w:eastAsia="Calibri" w:hAnsi="Calibri"/>
                <w:b w:val="false"/>
                <w:bCs w:val="false"/>
                <w:color w:val="0b0b0b"/>
                <w:sz w:val="20"/>
                <w:szCs w:val="20"/>
              </w:rPr>
              <w:t xml:space="preserve">Zero-configuration, file-based, no server to install or run — appropriate for a single-user local prototype.</w:t>
            </w:r>
          </w:p>
        </w:tc>
      </w:tr>
      <w:tr>
        <w:tc>
          <w:tcPr>
            <w:tcW w:type="dxa" w:w="2000"/>
            <w:shd w:fill="ffffff" w:val="clear"/>
            <w:tcMar>
              <w:top w:type="dxa" w:w="100"/>
              <w:left w:type="dxa" w:w="120"/>
              <w:bottom w:type="dxa" w:w="100"/>
              <w:right w:type="dxa" w:w="120"/>
            </w:tcMar>
          </w:tcPr>
          <w:p>
            <w:r>
              <w:rPr>
                <w:rFonts w:ascii="Consolas" w:cs="Consolas" w:eastAsia="Consolas" w:hAnsi="Consolas"/>
                <w:b w:val="false"/>
                <w:bCs w:val="false"/>
                <w:color w:val="0b0b0b"/>
                <w:sz w:val="20"/>
                <w:szCs w:val="20"/>
              </w:rPr>
              <w:t xml:space="preserve">Testing</w:t>
            </w:r>
          </w:p>
        </w:tc>
        <w:tc>
          <w:tcPr>
            <w:tcW w:type="dxa" w:w="3300"/>
            <w:shd w:fill="ffffff" w:val="clear"/>
            <w:tcMar>
              <w:top w:type="dxa" w:w="100"/>
              <w:left w:type="dxa" w:w="120"/>
              <w:bottom w:type="dxa" w:w="100"/>
              <w:right w:type="dxa" w:w="120"/>
            </w:tcMar>
          </w:tcPr>
          <w:p>
            <w:r>
              <w:rPr>
                <w:rFonts w:ascii="Calibri" w:cs="Calibri" w:eastAsia="Calibri" w:hAnsi="Calibri"/>
                <w:b w:val="false"/>
                <w:bCs w:val="false"/>
                <w:color w:val="0b0b0b"/>
                <w:sz w:val="20"/>
                <w:szCs w:val="20"/>
              </w:rPr>
              <w:t xml:space="preserve">pytest 8.x + Streamlit AppTest</w:t>
            </w:r>
          </w:p>
        </w:tc>
        <w:tc>
          <w:tcPr>
            <w:tcW w:type="dxa" w:w="5400"/>
            <w:shd w:fill="ffffff" w:val="clear"/>
            <w:tcMar>
              <w:top w:type="dxa" w:w="100"/>
              <w:left w:type="dxa" w:w="120"/>
              <w:bottom w:type="dxa" w:w="100"/>
              <w:right w:type="dxa" w:w="120"/>
            </w:tcMar>
          </w:tcPr>
          <w:p>
            <w:r>
              <w:rPr>
                <w:rFonts w:ascii="Calibri" w:cs="Calibri" w:eastAsia="Calibri" w:hAnsi="Calibri"/>
                <w:b w:val="false"/>
                <w:bCs w:val="false"/>
                <w:color w:val="0b0b0b"/>
                <w:sz w:val="20"/>
                <w:szCs w:val="20"/>
              </w:rPr>
              <w:t xml:space="preserve">Industry-standard Python testing; AppTest drives the dashboard itself in tests, without a real browser.</w:t>
            </w:r>
          </w:p>
        </w:tc>
      </w:tr>
      <w:tr>
        <w:tc>
          <w:tcPr>
            <w:tcW w:type="dxa" w:w="2000"/>
            <w:shd w:fill="f5f5f3" w:val="clear"/>
            <w:tcMar>
              <w:top w:type="dxa" w:w="100"/>
              <w:left w:type="dxa" w:w="120"/>
              <w:bottom w:type="dxa" w:w="100"/>
              <w:right w:type="dxa" w:w="120"/>
            </w:tcMar>
          </w:tcPr>
          <w:p>
            <w:r>
              <w:rPr>
                <w:rFonts w:ascii="Consolas" w:cs="Consolas" w:eastAsia="Consolas" w:hAnsi="Consolas"/>
                <w:b w:val="false"/>
                <w:bCs w:val="false"/>
                <w:color w:val="0b0b0b"/>
                <w:sz w:val="20"/>
                <w:szCs w:val="20"/>
              </w:rPr>
              <w:t xml:space="preserve">Report generation</w:t>
            </w:r>
          </w:p>
        </w:tc>
        <w:tc>
          <w:tcPr>
            <w:tcW w:type="dxa" w:w="3300"/>
            <w:shd w:fill="f5f5f3" w:val="clear"/>
            <w:tcMar>
              <w:top w:type="dxa" w:w="100"/>
              <w:left w:type="dxa" w:w="120"/>
              <w:bottom w:type="dxa" w:w="100"/>
              <w:right w:type="dxa" w:w="120"/>
            </w:tcMar>
          </w:tcPr>
          <w:p>
            <w:r>
              <w:rPr>
                <w:rFonts w:ascii="Calibri" w:cs="Calibri" w:eastAsia="Calibri" w:hAnsi="Calibri"/>
                <w:b w:val="false"/>
                <w:bCs w:val="false"/>
                <w:color w:val="0b0b0b"/>
                <w:sz w:val="20"/>
                <w:szCs w:val="20"/>
              </w:rPr>
              <w:t xml:space="preserve">Hand-written Markdown / HTML (stdlib only)</w:t>
            </w:r>
          </w:p>
        </w:tc>
        <w:tc>
          <w:tcPr>
            <w:tcW w:type="dxa" w:w="5400"/>
            <w:shd w:fill="f5f5f3" w:val="clear"/>
            <w:tcMar>
              <w:top w:type="dxa" w:w="100"/>
              <w:left w:type="dxa" w:w="120"/>
              <w:bottom w:type="dxa" w:w="100"/>
              <w:right w:type="dxa" w:w="120"/>
            </w:tcMar>
          </w:tcPr>
          <w:p>
            <w:r>
              <w:rPr>
                <w:rFonts w:ascii="Calibri" w:cs="Calibri" w:eastAsia="Calibri" w:hAnsi="Calibri"/>
                <w:b w:val="false"/>
                <w:bCs w:val="false"/>
                <w:color w:val="0b0b0b"/>
                <w:sz w:val="20"/>
                <w:szCs w:val="20"/>
              </w:rPr>
              <w:t xml:space="preserve">No PDF/reporting library dependency — output is two plain, portable, human-readable formats.</w:t>
            </w:r>
          </w:p>
        </w:tc>
      </w:tr>
      <w:tr>
        <w:tc>
          <w:tcPr>
            <w:tcW w:type="dxa" w:w="2000"/>
            <w:shd w:fill="ffffff" w:val="clear"/>
            <w:tcMar>
              <w:top w:type="dxa" w:w="100"/>
              <w:left w:type="dxa" w:w="120"/>
              <w:bottom w:type="dxa" w:w="100"/>
              <w:right w:type="dxa" w:w="120"/>
            </w:tcMar>
          </w:tcPr>
          <w:p>
            <w:r>
              <w:rPr>
                <w:rFonts w:ascii="Consolas" w:cs="Consolas" w:eastAsia="Consolas" w:hAnsi="Consolas"/>
                <w:b w:val="false"/>
                <w:bCs w:val="false"/>
                <w:color w:val="0b0b0b"/>
                <w:sz w:val="20"/>
                <w:szCs w:val="20"/>
              </w:rPr>
              <w:t xml:space="preserve">Optional LLM</w:t>
            </w:r>
          </w:p>
        </w:tc>
        <w:tc>
          <w:tcPr>
            <w:tcW w:type="dxa" w:w="3300"/>
            <w:shd w:fill="ffffff" w:val="clear"/>
            <w:tcMar>
              <w:top w:type="dxa" w:w="100"/>
              <w:left w:type="dxa" w:w="120"/>
              <w:bottom w:type="dxa" w:w="100"/>
              <w:right w:type="dxa" w:w="120"/>
            </w:tcMar>
          </w:tcPr>
          <w:p>
            <w:r>
              <w:rPr>
                <w:rFonts w:ascii="Calibri" w:cs="Calibri" w:eastAsia="Calibri" w:hAnsi="Calibri"/>
                <w:b w:val="false"/>
                <w:bCs w:val="false"/>
                <w:color w:val="0b0b0b"/>
                <w:sz w:val="20"/>
                <w:szCs w:val="20"/>
              </w:rPr>
              <w:t xml:space="preserve">Ollama (1–2B local model), off by default</w:t>
            </w:r>
          </w:p>
        </w:tc>
        <w:tc>
          <w:tcPr>
            <w:tcW w:type="dxa" w:w="5400"/>
            <w:shd w:fill="ffffff" w:val="clear"/>
            <w:tcMar>
              <w:top w:type="dxa" w:w="100"/>
              <w:left w:type="dxa" w:w="120"/>
              <w:bottom w:type="dxa" w:w="100"/>
              <w:right w:type="dxa" w:w="120"/>
            </w:tcMar>
          </w:tcPr>
          <w:p>
            <w:r>
              <w:rPr>
                <w:rFonts w:ascii="Calibri" w:cs="Calibri" w:eastAsia="Calibri" w:hAnsi="Calibri"/>
                <w:b w:val="false"/>
                <w:bCs w:val="false"/>
                <w:color w:val="0b0b0b"/>
                <w:sz w:val="20"/>
                <w:szCs w:val="20"/>
              </w:rPr>
              <w:t xml:space="preserve">A pluggable interface exists so a local model could replace the rule-based classifier later; not required to run the prototype.</w:t>
            </w:r>
          </w:p>
        </w:tc>
      </w:tr>
    </w:tbl>
    <w:p>
      <w:pPr>
        <w:spacing w:after="200"/>
      </w:pPr>
    </w:p>
    <w:p>
      <w:pPr>
        <w:spacing w:after="200" w:line="300"/>
      </w:pPr>
      <w:r>
        <w:rPr>
          <w:rFonts w:ascii="Calibri" w:cs="Calibri" w:eastAsia="Calibri" w:hAnsi="Calibri"/>
          <w:sz w:val="22"/>
          <w:szCs w:val="22"/>
        </w:rPr>
        <w:t xml:space="preserve">Total runtime footprint — Streamlit, SQLite, and Python together — stays under roughly 500 MB of RAM. No API keys, cloud services, or paid subscriptions are required at any point. An optional local LLM path exists (Ollama running a 1–2B parameter model) behind a pluggable LLMProvider interface, but it is off by default and was never required to be enabled for any part of this build.</w:t>
      </w:r>
    </w:p>
    <w:p>
      <w:pPr>
        <w:pStyle w:val="Heading1"/>
        <w:spacing w:after="160" w:before="360"/>
      </w:pPr>
      <w:r>
        <w:t xml:space="preserve">4. Module Reference</w:t>
      </w:r>
    </w:p>
    <w:p>
      <w:pPr>
        <w:pStyle w:val="Heading2"/>
        <w:spacing w:after="120" w:before="280"/>
      </w:pPr>
      <w:r>
        <w:t xml:space="preserve">4.1 apex/ — the attacking system</w:t>
      </w:r>
    </w:p>
    <w:tbl>
      <w:tblPr>
        <w:tblW w:type="dxa" w:w="10700"/>
        <w:tblBorders>
          <w:top w:val="single" w:color="auto" w:sz="4"/>
          <w:left w:val="single" w:color="auto" w:sz="4"/>
          <w:bottom w:val="single" w:color="auto" w:sz="4"/>
          <w:right w:val="single" w:color="auto" w:sz="4"/>
          <w:insideH w:val="single" w:color="auto" w:sz="4"/>
          <w:insideV w:val="single" w:color="auto" w:sz="4"/>
        </w:tblBorders>
      </w:tblPr>
      <w:tblGrid>
        <w:gridCol w:w="2800"/>
        <w:gridCol w:w="7900"/>
      </w:tblGrid>
      <w:tr>
        <w:tc>
          <w:tcPr>
            <w:tcW w:type="dxa" w:w="2800"/>
            <w:shd w:fill="1a1a19" w:val="clear"/>
            <w:tcMar>
              <w:top w:type="dxa" w:w="100"/>
              <w:left w:type="dxa" w:w="120"/>
              <w:bottom w:type="dxa" w:w="100"/>
              <w:right w:type="dxa" w:w="120"/>
            </w:tcMar>
          </w:tcPr>
          <w:p>
            <w:r>
              <w:rPr>
                <w:rFonts w:ascii="Calibri" w:cs="Calibri" w:eastAsia="Calibri" w:hAnsi="Calibri"/>
                <w:b/>
                <w:bCs/>
                <w:color w:val="ffffff"/>
                <w:sz w:val="20"/>
                <w:szCs w:val="20"/>
              </w:rPr>
              <w:t xml:space="preserve">Module</w:t>
            </w:r>
          </w:p>
        </w:tc>
        <w:tc>
          <w:tcPr>
            <w:tcW w:type="dxa" w:w="7900"/>
            <w:shd w:fill="1a1a19" w:val="clear"/>
            <w:tcMar>
              <w:top w:type="dxa" w:w="100"/>
              <w:left w:type="dxa" w:w="120"/>
              <w:bottom w:type="dxa" w:w="100"/>
              <w:right w:type="dxa" w:w="120"/>
            </w:tcMar>
          </w:tcPr>
          <w:p>
            <w:r>
              <w:rPr>
                <w:rFonts w:ascii="Calibri" w:cs="Calibri" w:eastAsia="Calibri" w:hAnsi="Calibri"/>
                <w:b/>
                <w:bCs/>
                <w:color w:val="ffffff"/>
                <w:sz w:val="20"/>
                <w:szCs w:val="20"/>
              </w:rPr>
              <w:t xml:space="preserve">Responsibility</w:t>
            </w:r>
          </w:p>
        </w:tc>
      </w:tr>
      <w:tr>
        <w:tc>
          <w:tcPr>
            <w:tcW w:type="dxa" w:w="2800"/>
            <w:shd w:fill="ffffff" w:val="clear"/>
            <w:tcMar>
              <w:top w:type="dxa" w:w="100"/>
              <w:left w:type="dxa" w:w="120"/>
              <w:bottom w:type="dxa" w:w="100"/>
              <w:right w:type="dxa" w:w="120"/>
            </w:tcMar>
          </w:tcPr>
          <w:p>
            <w:r>
              <w:rPr>
                <w:rFonts w:ascii="Consolas" w:cs="Consolas" w:eastAsia="Consolas" w:hAnsi="Consolas"/>
                <w:b w:val="false"/>
                <w:bCs w:val="false"/>
                <w:color w:val="0b0b0b"/>
                <w:sz w:val="20"/>
                <w:szCs w:val="20"/>
              </w:rPr>
              <w:t xml:space="preserve">apex/connector.py</w:t>
            </w:r>
          </w:p>
        </w:tc>
        <w:tc>
          <w:tcPr>
            <w:tcW w:type="dxa" w:w="7900"/>
            <w:shd w:fill="ffffff" w:val="clear"/>
            <w:tcMar>
              <w:top w:type="dxa" w:w="100"/>
              <w:left w:type="dxa" w:w="120"/>
              <w:bottom w:type="dxa" w:w="100"/>
              <w:right w:type="dxa" w:w="120"/>
            </w:tcMar>
          </w:tcPr>
          <w:p>
            <w:r>
              <w:rPr>
                <w:rFonts w:ascii="Calibri" w:cs="Calibri" w:eastAsia="Calibri" w:hAnsi="Calibri"/>
                <w:b w:val="false"/>
                <w:bCs w:val="false"/>
                <w:color w:val="0b0b0b"/>
                <w:sz w:val="20"/>
                <w:szCs w:val="20"/>
              </w:rPr>
              <w:t xml:space="preserve">Defines TargetConnector, the abstract interface APEX uses to talk to any target. Ships LocalVictimConnector (in-process calls to VICTIM); a future HTTPConnector could target a real remote agent through the same interface.</w:t>
            </w:r>
          </w:p>
        </w:tc>
      </w:tr>
      <w:tr>
        <w:tc>
          <w:tcPr>
            <w:tcW w:type="dxa" w:w="2800"/>
            <w:shd w:fill="f5f5f3" w:val="clear"/>
            <w:tcMar>
              <w:top w:type="dxa" w:w="100"/>
              <w:left w:type="dxa" w:w="120"/>
              <w:bottom w:type="dxa" w:w="100"/>
              <w:right w:type="dxa" w:w="120"/>
            </w:tcMar>
          </w:tcPr>
          <w:p>
            <w:r>
              <w:rPr>
                <w:rFonts w:ascii="Consolas" w:cs="Consolas" w:eastAsia="Consolas" w:hAnsi="Consolas"/>
                <w:b w:val="false"/>
                <w:bCs w:val="false"/>
                <w:color w:val="0b0b0b"/>
                <w:sz w:val="20"/>
                <w:szCs w:val="20"/>
              </w:rPr>
              <w:t xml:space="preserve">apex/recon.py</w:t>
            </w:r>
          </w:p>
        </w:tc>
        <w:tc>
          <w:tcPr>
            <w:tcW w:type="dxa" w:w="7900"/>
            <w:shd w:fill="f5f5f3" w:val="clear"/>
            <w:tcMar>
              <w:top w:type="dxa" w:w="100"/>
              <w:left w:type="dxa" w:w="120"/>
              <w:bottom w:type="dxa" w:w="100"/>
              <w:right w:type="dxa" w:w="120"/>
            </w:tcMar>
          </w:tcPr>
          <w:p>
            <w:r>
              <w:rPr>
                <w:rFonts w:ascii="Calibri" w:cs="Calibri" w:eastAsia="Calibri" w:hAnsi="Calibri"/>
                <w:b w:val="false"/>
                <w:bCs w:val="false"/>
                <w:color w:val="0b0b0b"/>
                <w:sz w:val="20"/>
                <w:szCs w:val="20"/>
              </w:rPr>
              <w:t xml:space="preserve">Profiles a target as a black box: sends benign probe messages and infers capabilities (RAG, file reader, database tool, email tool) purely from response behavior — never inspects the target's code.</w:t>
            </w:r>
          </w:p>
        </w:tc>
      </w:tr>
      <w:tr>
        <w:tc>
          <w:tcPr>
            <w:tcW w:type="dxa" w:w="2800"/>
            <w:shd w:fill="ffffff" w:val="clear"/>
            <w:tcMar>
              <w:top w:type="dxa" w:w="100"/>
              <w:left w:type="dxa" w:w="120"/>
              <w:bottom w:type="dxa" w:w="100"/>
              <w:right w:type="dxa" w:w="120"/>
            </w:tcMar>
          </w:tcPr>
          <w:p>
            <w:r>
              <w:rPr>
                <w:rFonts w:ascii="Consolas" w:cs="Consolas" w:eastAsia="Consolas" w:hAnsi="Consolas"/>
                <w:b w:val="false"/>
                <w:bCs w:val="false"/>
                <w:color w:val="0b0b0b"/>
                <w:sz w:val="20"/>
                <w:szCs w:val="20"/>
              </w:rPr>
              <w:t xml:space="preserve">apex/attacks/direct.py</w:t>
            </w:r>
          </w:p>
        </w:tc>
        <w:tc>
          <w:tcPr>
            <w:tcW w:type="dxa" w:w="7900"/>
            <w:shd w:fill="ffffff" w:val="clear"/>
            <w:tcMar>
              <w:top w:type="dxa" w:w="100"/>
              <w:left w:type="dxa" w:w="120"/>
              <w:bottom w:type="dxa" w:w="100"/>
              <w:right w:type="dxa" w:w="120"/>
            </w:tcMar>
          </w:tcPr>
          <w:p>
            <w:r>
              <w:rPr>
                <w:rFonts w:ascii="Calibri" w:cs="Calibri" w:eastAsia="Calibri" w:hAnsi="Calibri"/>
                <w:b w:val="false"/>
                <w:bCs w:val="false"/>
                <w:color w:val="0b0b0b"/>
                <w:sz w:val="20"/>
                <w:szCs w:val="20"/>
              </w:rPr>
              <w:t xml:space="preserve">Runs the 14-payload direct-injection library against the target and classifies each response.</w:t>
            </w:r>
          </w:p>
        </w:tc>
      </w:tr>
      <w:tr>
        <w:tc>
          <w:tcPr>
            <w:tcW w:type="dxa" w:w="2800"/>
            <w:shd w:fill="f5f5f3" w:val="clear"/>
            <w:tcMar>
              <w:top w:type="dxa" w:w="100"/>
              <w:left w:type="dxa" w:w="120"/>
              <w:bottom w:type="dxa" w:w="100"/>
              <w:right w:type="dxa" w:w="120"/>
            </w:tcMar>
          </w:tcPr>
          <w:p>
            <w:r>
              <w:rPr>
                <w:rFonts w:ascii="Consolas" w:cs="Consolas" w:eastAsia="Consolas" w:hAnsi="Consolas"/>
                <w:b w:val="false"/>
                <w:bCs w:val="false"/>
                <w:color w:val="0b0b0b"/>
                <w:sz w:val="20"/>
                <w:szCs w:val="20"/>
              </w:rPr>
              <w:t xml:space="preserve">apex/attacks/indirect.py</w:t>
            </w:r>
          </w:p>
        </w:tc>
        <w:tc>
          <w:tcPr>
            <w:tcW w:type="dxa" w:w="7900"/>
            <w:shd w:fill="f5f5f3" w:val="clear"/>
            <w:tcMar>
              <w:top w:type="dxa" w:w="100"/>
              <w:left w:type="dxa" w:w="120"/>
              <w:bottom w:type="dxa" w:w="100"/>
              <w:right w:type="dxa" w:w="120"/>
            </w:tcMar>
          </w:tcPr>
          <w:p>
            <w:r>
              <w:rPr>
                <w:rFonts w:ascii="Calibri" w:cs="Calibri" w:eastAsia="Calibri" w:hAnsi="Calibri"/>
                <w:b w:val="false"/>
                <w:bCs w:val="false"/>
                <w:color w:val="0b0b0b"/>
                <w:sz w:val="20"/>
                <w:szCs w:val="20"/>
              </w:rPr>
              <w:t xml:space="preserve">Runs indirect-injection scenarios — asking the target to read a document containing a hidden instruction — and checks the simulated attacker inbox for exfiltrated data.</w:t>
            </w:r>
          </w:p>
        </w:tc>
      </w:tr>
      <w:tr>
        <w:tc>
          <w:tcPr>
            <w:tcW w:type="dxa" w:w="2800"/>
            <w:shd w:fill="ffffff" w:val="clear"/>
            <w:tcMar>
              <w:top w:type="dxa" w:w="100"/>
              <w:left w:type="dxa" w:w="120"/>
              <w:bottom w:type="dxa" w:w="100"/>
              <w:right w:type="dxa" w:w="120"/>
            </w:tcMar>
          </w:tcPr>
          <w:p>
            <w:r>
              <w:rPr>
                <w:rFonts w:ascii="Consolas" w:cs="Consolas" w:eastAsia="Consolas" w:hAnsi="Consolas"/>
                <w:b w:val="false"/>
                <w:bCs w:val="false"/>
                <w:color w:val="0b0b0b"/>
                <w:sz w:val="20"/>
                <w:szCs w:val="20"/>
              </w:rPr>
              <w:t xml:space="preserve">apex/attacks/payloads.json</w:t>
            </w:r>
          </w:p>
        </w:tc>
        <w:tc>
          <w:tcPr>
            <w:tcW w:type="dxa" w:w="7900"/>
            <w:shd w:fill="ffffff" w:val="clear"/>
            <w:tcMar>
              <w:top w:type="dxa" w:w="100"/>
              <w:left w:type="dxa" w:w="120"/>
              <w:bottom w:type="dxa" w:w="100"/>
              <w:right w:type="dxa" w:w="120"/>
            </w:tcMar>
          </w:tcPr>
          <w:p>
            <w:r>
              <w:rPr>
                <w:rFonts w:ascii="Calibri" w:cs="Calibri" w:eastAsia="Calibri" w:hAnsi="Calibri"/>
                <w:b w:val="false"/>
                <w:bCs w:val="false"/>
                <w:color w:val="0b0b0b"/>
                <w:sz w:val="20"/>
                <w:szCs w:val="20"/>
              </w:rPr>
              <w:t xml:space="preserve">The payload library itself: 14 payloads across 6 categories (instruction override, role manipulation, context framing, information disclosure, authority impersonation, encoding obfuscation).</w:t>
            </w:r>
          </w:p>
        </w:tc>
      </w:tr>
      <w:tr>
        <w:tc>
          <w:tcPr>
            <w:tcW w:type="dxa" w:w="2800"/>
            <w:shd w:fill="f5f5f3" w:val="clear"/>
            <w:tcMar>
              <w:top w:type="dxa" w:w="100"/>
              <w:left w:type="dxa" w:w="120"/>
              <w:bottom w:type="dxa" w:w="100"/>
              <w:right w:type="dxa" w:w="120"/>
            </w:tcMar>
          </w:tcPr>
          <w:p>
            <w:r>
              <w:rPr>
                <w:rFonts w:ascii="Consolas" w:cs="Consolas" w:eastAsia="Consolas" w:hAnsi="Consolas"/>
                <w:b w:val="false"/>
                <w:bCs w:val="false"/>
                <w:color w:val="0b0b0b"/>
                <w:sz w:val="20"/>
                <w:szCs w:val="20"/>
              </w:rPr>
              <w:t xml:space="preserve">apex/classify.py</w:t>
            </w:r>
          </w:p>
        </w:tc>
        <w:tc>
          <w:tcPr>
            <w:tcW w:type="dxa" w:w="7900"/>
            <w:shd w:fill="f5f5f3" w:val="clear"/>
            <w:tcMar>
              <w:top w:type="dxa" w:w="100"/>
              <w:left w:type="dxa" w:w="120"/>
              <w:bottom w:type="dxa" w:w="100"/>
              <w:right w:type="dxa" w:w="120"/>
            </w:tcMar>
          </w:tcPr>
          <w:p>
            <w:r>
              <w:rPr>
                <w:rFonts w:ascii="Calibri" w:cs="Calibri" w:eastAsia="Calibri" w:hAnsi="Calibri"/>
                <w:b w:val="false"/>
                <w:bCs w:val="false"/>
                <w:color w:val="0b0b0b"/>
                <w:sz w:val="20"/>
                <w:szCs w:val="20"/>
              </w:rPr>
              <w:t xml:space="preserve">The rule-based judge: classify_response(payload, response) matches known confidential-content markers and returns SAFE / PARTIAL_SUCCESS / SUCCESS / ERROR with a human-readable reason.</w:t>
            </w:r>
          </w:p>
        </w:tc>
      </w:tr>
      <w:tr>
        <w:tc>
          <w:tcPr>
            <w:tcW w:type="dxa" w:w="2800"/>
            <w:shd w:fill="ffffff" w:val="clear"/>
            <w:tcMar>
              <w:top w:type="dxa" w:w="100"/>
              <w:left w:type="dxa" w:w="120"/>
              <w:bottom w:type="dxa" w:w="100"/>
              <w:right w:type="dxa" w:w="120"/>
            </w:tcMar>
          </w:tcPr>
          <w:p>
            <w:r>
              <w:rPr>
                <w:rFonts w:ascii="Consolas" w:cs="Consolas" w:eastAsia="Consolas" w:hAnsi="Consolas"/>
                <w:b w:val="false"/>
                <w:bCs w:val="false"/>
                <w:color w:val="0b0b0b"/>
                <w:sz w:val="20"/>
                <w:szCs w:val="20"/>
              </w:rPr>
              <w:t xml:space="preserve">apex/attacker_mailbox.py</w:t>
            </w:r>
          </w:p>
        </w:tc>
        <w:tc>
          <w:tcPr>
            <w:tcW w:type="dxa" w:w="7900"/>
            <w:shd w:fill="ffffff" w:val="clear"/>
            <w:tcMar>
              <w:top w:type="dxa" w:w="100"/>
              <w:left w:type="dxa" w:w="120"/>
              <w:bottom w:type="dxa" w:w="100"/>
              <w:right w:type="dxa" w:w="120"/>
            </w:tcMar>
          </w:tcPr>
          <w:p>
            <w:r>
              <w:rPr>
                <w:rFonts w:ascii="Calibri" w:cs="Calibri" w:eastAsia="Calibri" w:hAnsi="Calibri"/>
                <w:b w:val="false"/>
                <w:bCs w:val="false"/>
                <w:color w:val="0b0b0b"/>
                <w:sz w:val="20"/>
                <w:szCs w:val="20"/>
              </w:rPr>
              <w:t xml:space="preserve">Reads the simulated attacker-controlled inbox (a local SQLite table) to detect whether an indirect-injection scenario succeeded in exfiltrating data.</w:t>
            </w:r>
          </w:p>
        </w:tc>
      </w:tr>
      <w:tr>
        <w:tc>
          <w:tcPr>
            <w:tcW w:type="dxa" w:w="2800"/>
            <w:shd w:fill="f5f5f3" w:val="clear"/>
            <w:tcMar>
              <w:top w:type="dxa" w:w="100"/>
              <w:left w:type="dxa" w:w="120"/>
              <w:bottom w:type="dxa" w:w="100"/>
              <w:right w:type="dxa" w:w="120"/>
            </w:tcMar>
          </w:tcPr>
          <w:p>
            <w:r>
              <w:rPr>
                <w:rFonts w:ascii="Consolas" w:cs="Consolas" w:eastAsia="Consolas" w:hAnsi="Consolas"/>
                <w:b w:val="false"/>
                <w:bCs w:val="false"/>
                <w:color w:val="0b0b0b"/>
                <w:sz w:val="20"/>
                <w:szCs w:val="20"/>
              </w:rPr>
              <w:t xml:space="preserve">apex/orchestrator.py</w:t>
            </w:r>
          </w:p>
        </w:tc>
        <w:tc>
          <w:tcPr>
            <w:tcW w:type="dxa" w:w="7900"/>
            <w:shd w:fill="f5f5f3" w:val="clear"/>
            <w:tcMar>
              <w:top w:type="dxa" w:w="100"/>
              <w:left w:type="dxa" w:w="120"/>
              <w:bottom w:type="dxa" w:w="100"/>
              <w:right w:type="dxa" w:w="120"/>
            </w:tcMar>
          </w:tcPr>
          <w:p>
            <w:r>
              <w:rPr>
                <w:rFonts w:ascii="Calibri" w:cs="Calibri" w:eastAsia="Calibri" w:hAnsi="Calibri"/>
                <w:b w:val="false"/>
                <w:bCs w:val="false"/>
                <w:color w:val="0b0b0b"/>
                <w:sz w:val="20"/>
                <w:szCs w:val="20"/>
              </w:rPr>
              <w:t xml:space="preserve">Sequences recon → direct injection → indirect injection into one AssessmentResult, holding no attack logic of its own.</w:t>
            </w:r>
          </w:p>
        </w:tc>
      </w:tr>
      <w:tr>
        <w:tc>
          <w:tcPr>
            <w:tcW w:type="dxa" w:w="2800"/>
            <w:shd w:fill="ffffff" w:val="clear"/>
            <w:tcMar>
              <w:top w:type="dxa" w:w="100"/>
              <w:left w:type="dxa" w:w="120"/>
              <w:bottom w:type="dxa" w:w="100"/>
              <w:right w:type="dxa" w:w="120"/>
            </w:tcMar>
          </w:tcPr>
          <w:p>
            <w:r>
              <w:rPr>
                <w:rFonts w:ascii="Consolas" w:cs="Consolas" w:eastAsia="Consolas" w:hAnsi="Consolas"/>
                <w:b w:val="false"/>
                <w:bCs w:val="false"/>
                <w:color w:val="0b0b0b"/>
                <w:sz w:val="20"/>
                <w:szCs w:val="20"/>
              </w:rPr>
              <w:t xml:space="preserve">apex/storage.py</w:t>
            </w:r>
          </w:p>
        </w:tc>
        <w:tc>
          <w:tcPr>
            <w:tcW w:type="dxa" w:w="7900"/>
            <w:shd w:fill="ffffff" w:val="clear"/>
            <w:tcMar>
              <w:top w:type="dxa" w:w="100"/>
              <w:left w:type="dxa" w:w="120"/>
              <w:bottom w:type="dxa" w:w="100"/>
              <w:right w:type="dxa" w:w="120"/>
            </w:tcMar>
          </w:tcPr>
          <w:p>
            <w:r>
              <w:rPr>
                <w:rFonts w:ascii="Calibri" w:cs="Calibri" w:eastAsia="Calibri" w:hAnsi="Calibri"/>
                <w:b w:val="false"/>
                <w:bCs w:val="false"/>
                <w:color w:val="0b0b0b"/>
                <w:sz w:val="20"/>
                <w:szCs w:val="20"/>
              </w:rPr>
              <w:t xml:space="preserve">Persists every AssessmentResult, its findings, and its full attempt log to SQLite; self-heals the schema on first use.</w:t>
            </w:r>
          </w:p>
        </w:tc>
      </w:tr>
      <w:tr>
        <w:tc>
          <w:tcPr>
            <w:tcW w:type="dxa" w:w="2800"/>
            <w:shd w:fill="f5f5f3" w:val="clear"/>
            <w:tcMar>
              <w:top w:type="dxa" w:w="100"/>
              <w:left w:type="dxa" w:w="120"/>
              <w:bottom w:type="dxa" w:w="100"/>
              <w:right w:type="dxa" w:w="120"/>
            </w:tcMar>
          </w:tcPr>
          <w:p>
            <w:r>
              <w:rPr>
                <w:rFonts w:ascii="Consolas" w:cs="Consolas" w:eastAsia="Consolas" w:hAnsi="Consolas"/>
                <w:b w:val="false"/>
                <w:bCs w:val="false"/>
                <w:color w:val="0b0b0b"/>
                <w:sz w:val="20"/>
                <w:szCs w:val="20"/>
              </w:rPr>
              <w:t xml:space="preserve">apex/report.py</w:t>
            </w:r>
          </w:p>
        </w:tc>
        <w:tc>
          <w:tcPr>
            <w:tcW w:type="dxa" w:w="7900"/>
            <w:shd w:fill="f5f5f3" w:val="clear"/>
            <w:tcMar>
              <w:top w:type="dxa" w:w="100"/>
              <w:left w:type="dxa" w:w="120"/>
              <w:bottom w:type="dxa" w:w="100"/>
              <w:right w:type="dxa" w:w="120"/>
            </w:tcMar>
          </w:tcPr>
          <w:p>
            <w:r>
              <w:rPr>
                <w:rFonts w:ascii="Calibri" w:cs="Calibri" w:eastAsia="Calibri" w:hAnsi="Calibri"/>
                <w:b w:val="false"/>
                <w:bCs w:val="false"/>
                <w:color w:val="0b0b0b"/>
                <w:sz w:val="20"/>
                <w:szCs w:val="20"/>
              </w:rPr>
              <w:t xml:space="preserve">Renders an AssessmentResult (live or loaded from storage) into a standalone Markdown or HTML report.</w:t>
            </w:r>
          </w:p>
        </w:tc>
      </w:tr>
    </w:tbl>
    <w:p>
      <w:pPr>
        <w:spacing w:after="200"/>
      </w:pPr>
    </w:p>
    <w:p>
      <w:pPr>
        <w:pStyle w:val="Heading2"/>
        <w:spacing w:after="120" w:before="280"/>
      </w:pPr>
      <w:r>
        <w:t xml:space="preserve">4.2 victim/ — the simulated target</w:t>
      </w:r>
    </w:p>
    <w:tbl>
      <w:tblPr>
        <w:tblW w:type="dxa" w:w="10700"/>
        <w:tblBorders>
          <w:top w:val="single" w:color="auto" w:sz="4"/>
          <w:left w:val="single" w:color="auto" w:sz="4"/>
          <w:bottom w:val="single" w:color="auto" w:sz="4"/>
          <w:right w:val="single" w:color="auto" w:sz="4"/>
          <w:insideH w:val="single" w:color="auto" w:sz="4"/>
          <w:insideV w:val="single" w:color="auto" w:sz="4"/>
        </w:tblBorders>
      </w:tblPr>
      <w:tblGrid>
        <w:gridCol w:w="2800"/>
        <w:gridCol w:w="7900"/>
      </w:tblGrid>
      <w:tr>
        <w:tc>
          <w:tcPr>
            <w:tcW w:type="dxa" w:w="2800"/>
            <w:shd w:fill="1a1a19" w:val="clear"/>
            <w:tcMar>
              <w:top w:type="dxa" w:w="100"/>
              <w:left w:type="dxa" w:w="120"/>
              <w:bottom w:type="dxa" w:w="100"/>
              <w:right w:type="dxa" w:w="120"/>
            </w:tcMar>
          </w:tcPr>
          <w:p>
            <w:r>
              <w:rPr>
                <w:rFonts w:ascii="Calibri" w:cs="Calibri" w:eastAsia="Calibri" w:hAnsi="Calibri"/>
                <w:b/>
                <w:bCs/>
                <w:color w:val="ffffff"/>
                <w:sz w:val="20"/>
                <w:szCs w:val="20"/>
              </w:rPr>
              <w:t xml:space="preserve">Module</w:t>
            </w:r>
          </w:p>
        </w:tc>
        <w:tc>
          <w:tcPr>
            <w:tcW w:type="dxa" w:w="7900"/>
            <w:shd w:fill="1a1a19" w:val="clear"/>
            <w:tcMar>
              <w:top w:type="dxa" w:w="100"/>
              <w:left w:type="dxa" w:w="120"/>
              <w:bottom w:type="dxa" w:w="100"/>
              <w:right w:type="dxa" w:w="120"/>
            </w:tcMar>
          </w:tcPr>
          <w:p>
            <w:r>
              <w:rPr>
                <w:rFonts w:ascii="Calibri" w:cs="Calibri" w:eastAsia="Calibri" w:hAnsi="Calibri"/>
                <w:b/>
                <w:bCs/>
                <w:color w:val="ffffff"/>
                <w:sz w:val="20"/>
                <w:szCs w:val="20"/>
              </w:rPr>
              <w:t xml:space="preserve">Responsibility</w:t>
            </w:r>
          </w:p>
        </w:tc>
      </w:tr>
      <w:tr>
        <w:tc>
          <w:tcPr>
            <w:tcW w:type="dxa" w:w="2800"/>
            <w:shd w:fill="ffffff" w:val="clear"/>
            <w:tcMar>
              <w:top w:type="dxa" w:w="100"/>
              <w:left w:type="dxa" w:w="120"/>
              <w:bottom w:type="dxa" w:w="100"/>
              <w:right w:type="dxa" w:w="120"/>
            </w:tcMar>
          </w:tcPr>
          <w:p>
            <w:r>
              <w:rPr>
                <w:rFonts w:ascii="Consolas" w:cs="Consolas" w:eastAsia="Consolas" w:hAnsi="Consolas"/>
                <w:b w:val="false"/>
                <w:bCs w:val="false"/>
                <w:color w:val="0b0b0b"/>
                <w:sz w:val="20"/>
                <w:szCs w:val="20"/>
              </w:rPr>
              <w:t xml:space="preserve">victim/agent.py</w:t>
            </w:r>
          </w:p>
        </w:tc>
        <w:tc>
          <w:tcPr>
            <w:tcW w:type="dxa" w:w="7900"/>
            <w:shd w:fill="ffffff" w:val="clear"/>
            <w:tcMar>
              <w:top w:type="dxa" w:w="100"/>
              <w:left w:type="dxa" w:w="120"/>
              <w:bottom w:type="dxa" w:w="100"/>
              <w:right w:type="dxa" w:w="120"/>
            </w:tcMar>
          </w:tcPr>
          <w:p>
            <w:r>
              <w:rPr>
                <w:rFonts w:ascii="Calibri" w:cs="Calibri" w:eastAsia="Calibri" w:hAnsi="Calibri"/>
                <w:b w:val="false"/>
                <w:bCs w:val="false"/>
                <w:color w:val="0b0b0b"/>
                <w:sz w:val="20"/>
                <w:szCs w:val="20"/>
              </w:rPr>
              <w:t xml:space="preserve">The Victim class (persona "Aria") — a rule-based keyword router, not an LLM, that decides which tool or knowledge lookup to use for a given message.</w:t>
            </w:r>
          </w:p>
        </w:tc>
      </w:tr>
      <w:tr>
        <w:tc>
          <w:tcPr>
            <w:tcW w:type="dxa" w:w="2800"/>
            <w:shd w:fill="f5f5f3" w:val="clear"/>
            <w:tcMar>
              <w:top w:type="dxa" w:w="100"/>
              <w:left w:type="dxa" w:w="120"/>
              <w:bottom w:type="dxa" w:w="100"/>
              <w:right w:type="dxa" w:w="120"/>
            </w:tcMar>
          </w:tcPr>
          <w:p>
            <w:r>
              <w:rPr>
                <w:rFonts w:ascii="Consolas" w:cs="Consolas" w:eastAsia="Consolas" w:hAnsi="Consolas"/>
                <w:b w:val="false"/>
                <w:bCs w:val="false"/>
                <w:color w:val="0b0b0b"/>
                <w:sz w:val="20"/>
                <w:szCs w:val="20"/>
              </w:rPr>
              <w:t xml:space="preserve">victim/rag.py</w:t>
            </w:r>
          </w:p>
        </w:tc>
        <w:tc>
          <w:tcPr>
            <w:tcW w:type="dxa" w:w="7900"/>
            <w:shd w:fill="f5f5f3" w:val="clear"/>
            <w:tcMar>
              <w:top w:type="dxa" w:w="100"/>
              <w:left w:type="dxa" w:w="120"/>
              <w:bottom w:type="dxa" w:w="100"/>
              <w:right w:type="dxa" w:w="120"/>
            </w:tcMar>
          </w:tcPr>
          <w:p>
            <w:r>
              <w:rPr>
                <w:rFonts w:ascii="Calibri" w:cs="Calibri" w:eastAsia="Calibri" w:hAnsi="Calibri"/>
                <w:b w:val="false"/>
                <w:bCs w:val="false"/>
                <w:color w:val="0b0b0b"/>
                <w:sz w:val="20"/>
                <w:szCs w:val="20"/>
              </w:rPr>
              <w:t xml:space="preserve">SimpleRag — a small pure-Python keyword-overlap matcher over the company's mock documents. No embeddings, no vector database.</w:t>
            </w:r>
          </w:p>
        </w:tc>
      </w:tr>
      <w:tr>
        <w:tc>
          <w:tcPr>
            <w:tcW w:type="dxa" w:w="2800"/>
            <w:shd w:fill="ffffff" w:val="clear"/>
            <w:tcMar>
              <w:top w:type="dxa" w:w="100"/>
              <w:left w:type="dxa" w:w="120"/>
              <w:bottom w:type="dxa" w:w="100"/>
              <w:right w:type="dxa" w:w="120"/>
            </w:tcMar>
          </w:tcPr>
          <w:p>
            <w:r>
              <w:rPr>
                <w:rFonts w:ascii="Consolas" w:cs="Consolas" w:eastAsia="Consolas" w:hAnsi="Consolas"/>
                <w:b w:val="false"/>
                <w:bCs w:val="false"/>
                <w:color w:val="0b0b0b"/>
                <w:sz w:val="20"/>
                <w:szCs w:val="20"/>
              </w:rPr>
              <w:t xml:space="preserve">victim/db.py</w:t>
            </w:r>
          </w:p>
        </w:tc>
        <w:tc>
          <w:tcPr>
            <w:tcW w:type="dxa" w:w="7900"/>
            <w:shd w:fill="ffffff" w:val="clear"/>
            <w:tcMar>
              <w:top w:type="dxa" w:w="100"/>
              <w:left w:type="dxa" w:w="120"/>
              <w:bottom w:type="dxa" w:w="100"/>
              <w:right w:type="dxa" w:w="120"/>
            </w:tcMar>
          </w:tcPr>
          <w:p>
            <w:r>
              <w:rPr>
                <w:rFonts w:ascii="Calibri" w:cs="Calibri" w:eastAsia="Calibri" w:hAnsi="Calibri"/>
                <w:b w:val="false"/>
                <w:bCs w:val="false"/>
                <w:color w:val="0b0b0b"/>
                <w:sz w:val="20"/>
                <w:szCs w:val="20"/>
              </w:rPr>
              <w:t xml:space="preserve">A mock SQLite employees table with parameterized queries.</w:t>
            </w:r>
          </w:p>
        </w:tc>
      </w:tr>
      <w:tr>
        <w:tc>
          <w:tcPr>
            <w:tcW w:type="dxa" w:w="2800"/>
            <w:shd w:fill="f5f5f3" w:val="clear"/>
            <w:tcMar>
              <w:top w:type="dxa" w:w="100"/>
              <w:left w:type="dxa" w:w="120"/>
              <w:bottom w:type="dxa" w:w="100"/>
              <w:right w:type="dxa" w:w="120"/>
            </w:tcMar>
          </w:tcPr>
          <w:p>
            <w:r>
              <w:rPr>
                <w:rFonts w:ascii="Consolas" w:cs="Consolas" w:eastAsia="Consolas" w:hAnsi="Consolas"/>
                <w:b w:val="false"/>
                <w:bCs w:val="false"/>
                <w:color w:val="0b0b0b"/>
                <w:sz w:val="20"/>
                <w:szCs w:val="20"/>
              </w:rPr>
              <w:t xml:space="preserve">victim/email_tool.py</w:t>
            </w:r>
          </w:p>
        </w:tc>
        <w:tc>
          <w:tcPr>
            <w:tcW w:type="dxa" w:w="7900"/>
            <w:shd w:fill="f5f5f3" w:val="clear"/>
            <w:tcMar>
              <w:top w:type="dxa" w:w="100"/>
              <w:left w:type="dxa" w:w="120"/>
              <w:bottom w:type="dxa" w:w="100"/>
              <w:right w:type="dxa" w:w="120"/>
            </w:tcMar>
          </w:tcPr>
          <w:p>
            <w:r>
              <w:rPr>
                <w:rFonts w:ascii="Calibri" w:cs="Calibri" w:eastAsia="Calibri" w:hAnsi="Calibri"/>
                <w:b w:val="false"/>
                <w:bCs w:val="false"/>
                <w:color w:val="0b0b0b"/>
                <w:sz w:val="20"/>
                <w:szCs w:val="20"/>
              </w:rPr>
              <w:t xml:space="preserve">A mock email sender that only ever writes a row to a local sent_emails table — it never opens a network connection, under any configuration.</w:t>
            </w:r>
          </w:p>
        </w:tc>
      </w:tr>
      <w:tr>
        <w:tc>
          <w:tcPr>
            <w:tcW w:type="dxa" w:w="2800"/>
            <w:shd w:fill="ffffff" w:val="clear"/>
            <w:tcMar>
              <w:top w:type="dxa" w:w="100"/>
              <w:left w:type="dxa" w:w="120"/>
              <w:bottom w:type="dxa" w:w="100"/>
              <w:right w:type="dxa" w:w="120"/>
            </w:tcMar>
          </w:tcPr>
          <w:p>
            <w:r>
              <w:rPr>
                <w:rFonts w:ascii="Consolas" w:cs="Consolas" w:eastAsia="Consolas" w:hAnsi="Consolas"/>
                <w:b w:val="false"/>
                <w:bCs w:val="false"/>
                <w:color w:val="0b0b0b"/>
                <w:sz w:val="20"/>
                <w:szCs w:val="20"/>
              </w:rPr>
              <w:t xml:space="preserve">victim/file_reader.py</w:t>
            </w:r>
          </w:p>
        </w:tc>
        <w:tc>
          <w:tcPr>
            <w:tcW w:type="dxa" w:w="7900"/>
            <w:shd w:fill="ffffff" w:val="clear"/>
            <w:tcMar>
              <w:top w:type="dxa" w:w="100"/>
              <w:left w:type="dxa" w:w="120"/>
              <w:bottom w:type="dxa" w:w="100"/>
              <w:right w:type="dxa" w:w="120"/>
            </w:tcMar>
          </w:tcPr>
          <w:p>
            <w:r>
              <w:rPr>
                <w:rFonts w:ascii="Calibri" w:cs="Calibri" w:eastAsia="Calibri" w:hAnsi="Calibri"/>
                <w:b w:val="false"/>
                <w:bCs w:val="false"/>
                <w:color w:val="0b0b0b"/>
                <w:sz w:val="20"/>
                <w:szCs w:val="20"/>
              </w:rPr>
              <w:t xml:space="preserve">Reads files from a fixed documents directory, rejecting path traversal and absolute-path escapes.</w:t>
            </w:r>
          </w:p>
        </w:tc>
      </w:tr>
      <w:tr>
        <w:tc>
          <w:tcPr>
            <w:tcW w:type="dxa" w:w="2800"/>
            <w:shd w:fill="f5f5f3" w:val="clear"/>
            <w:tcMar>
              <w:top w:type="dxa" w:w="100"/>
              <w:left w:type="dxa" w:w="120"/>
              <w:bottom w:type="dxa" w:w="100"/>
              <w:right w:type="dxa" w:w="120"/>
            </w:tcMar>
          </w:tcPr>
          <w:p>
            <w:r>
              <w:rPr>
                <w:rFonts w:ascii="Consolas" w:cs="Consolas" w:eastAsia="Consolas" w:hAnsi="Consolas"/>
                <w:b w:val="false"/>
                <w:bCs w:val="false"/>
                <w:color w:val="0b0b0b"/>
                <w:sz w:val="20"/>
                <w:szCs w:val="20"/>
              </w:rPr>
              <w:t xml:space="preserve">victim/instruction_scanner.py</w:t>
            </w:r>
          </w:p>
        </w:tc>
        <w:tc>
          <w:tcPr>
            <w:tcW w:type="dxa" w:w="7900"/>
            <w:shd w:fill="f5f5f3" w:val="clear"/>
            <w:tcMar>
              <w:top w:type="dxa" w:w="100"/>
              <w:left w:type="dxa" w:w="120"/>
              <w:bottom w:type="dxa" w:w="100"/>
              <w:right w:type="dxa" w:w="120"/>
            </w:tcMar>
          </w:tcPr>
          <w:p>
            <w:r>
              <w:rPr>
                <w:rFonts w:ascii="Calibri" w:cs="Calibri" w:eastAsia="Calibri" w:hAnsi="Calibri"/>
                <w:b w:val="false"/>
                <w:bCs w:val="false"/>
                <w:color w:val="0b0b0b"/>
                <w:sz w:val="20"/>
                <w:szCs w:val="20"/>
              </w:rPr>
              <w:t xml:space="preserve">Detects hidden instructions embedded in documents (e.g. an HTML comment) so agent.py can decide whether to act on them.</w:t>
            </w:r>
          </w:p>
        </w:tc>
      </w:tr>
      <w:tr>
        <w:tc>
          <w:tcPr>
            <w:tcW w:type="dxa" w:w="2800"/>
            <w:shd w:fill="ffffff" w:val="clear"/>
            <w:tcMar>
              <w:top w:type="dxa" w:w="100"/>
              <w:left w:type="dxa" w:w="120"/>
              <w:bottom w:type="dxa" w:w="100"/>
              <w:right w:type="dxa" w:w="120"/>
            </w:tcMar>
          </w:tcPr>
          <w:p>
            <w:r>
              <w:rPr>
                <w:rFonts w:ascii="Consolas" w:cs="Consolas" w:eastAsia="Consolas" w:hAnsi="Consolas"/>
                <w:b w:val="false"/>
                <w:bCs w:val="false"/>
                <w:color w:val="0b0b0b"/>
                <w:sz w:val="20"/>
                <w:szCs w:val="20"/>
              </w:rPr>
              <w:t xml:space="preserve">victim/documents/*.txt</w:t>
            </w:r>
          </w:p>
        </w:tc>
        <w:tc>
          <w:tcPr>
            <w:tcW w:type="dxa" w:w="7900"/>
            <w:shd w:fill="ffffff" w:val="clear"/>
            <w:tcMar>
              <w:top w:type="dxa" w:w="100"/>
              <w:left w:type="dxa" w:w="120"/>
              <w:bottom w:type="dxa" w:w="100"/>
              <w:right w:type="dxa" w:w="120"/>
            </w:tcMar>
          </w:tcPr>
          <w:p>
            <w:r>
              <w:rPr>
                <w:rFonts w:ascii="Calibri" w:cs="Calibri" w:eastAsia="Calibri" w:hAnsi="Calibri"/>
                <w:b w:val="false"/>
                <w:bCs w:val="false"/>
                <w:color w:val="0b0b0b"/>
                <w:sz w:val="20"/>
                <w:szCs w:val="20"/>
              </w:rPr>
              <w:t xml:space="preserve">The mock knowledge base: company overview, employee policy, a confidential HR policy, an internal financial report, and two malicious documents used by the indirect-injection scenarios.</w:t>
            </w:r>
          </w:p>
        </w:tc>
      </w:tr>
    </w:tbl>
    <w:p>
      <w:pPr>
        <w:spacing w:after="200"/>
      </w:pPr>
    </w:p>
    <w:p>
      <w:pPr>
        <w:pStyle w:val="Heading2"/>
        <w:spacing w:after="120" w:before="280"/>
      </w:pPr>
      <w:r>
        <w:t xml:space="preserve">4.3 dashboard/app.py — the presentation layer</w:t>
      </w:r>
    </w:p>
    <w:p>
      <w:pPr>
        <w:spacing w:after="200" w:line="300"/>
      </w:pPr>
      <w:r>
        <w:rPr>
          <w:rFonts w:ascii="Calibri" w:cs="Calibri" w:eastAsia="Calibri" w:hAnsi="Calibri"/>
          <w:sz w:val="22"/>
          <w:szCs w:val="22"/>
        </w:rPr>
        <w:t xml:space="preserve">A thin Streamlit application that calls apex.orchestrator.run_assessment(), apex.storage, and apex.report, and renders what comes back. It contains no attack, classification, or persistence logic of its own — every piece of substantive logic lives in apex/, which keeps the dashboard replaceable (a future CLI, API, or different UI framework could sit on the exact same modules).</w:t>
      </w:r>
    </w:p>
    <w:p>
      <w:pPr>
        <w:spacing w:after="200" w:line="300"/>
      </w:pPr>
      <w:r>
        <w:rPr>
          <w:rFonts w:ascii="Calibri" w:cs="Calibri" w:eastAsia="Calibri" w:hAnsi="Calibri"/>
          <w:sz w:val="22"/>
          <w:szCs w:val="22"/>
        </w:rPr>
        <w:t xml:space="preserve">The dashboard is organized into five tabs — Overview, Findings, All Attempts, History, and Report — with every stat block and chart rendered inside a bordered card. Three chart types (a severity-mix bar, an attempt-outcome donut, and an attack-type split bar) appear on Overview, the same outcome donut repeats on All Attempts, and a two-line findings-versus-attempts trend chart appears on History once at least two assessments exist. Every chart is built with Plotly and colored from a validated, colorblind-safe palette: severity and attempt classification both draw from the same fixed status colors everywhere they appear (red for critical/successful-attack outcomes, orange and yellow for partial outcomes, green for resisted/safe outcomes), so color carries a single consistent meaning across the entire dashboard rather than each chart inventing its own scheme.</w:t>
      </w:r>
    </w:p>
    <w:p>
      <w:pPr>
        <w:pStyle w:val="Heading1"/>
        <w:spacing w:after="160" w:before="360"/>
      </w:pPr>
      <w:r>
        <w:t xml:space="preserve">5. Attack Methodology</w:t>
      </w:r>
    </w:p>
    <w:p>
      <w:pPr>
        <w:pStyle w:val="Heading2"/>
        <w:spacing w:after="120" w:before="280"/>
      </w:pPr>
      <w:r>
        <w:t xml:space="preserve">5.1 Direct prompt injection</w:t>
      </w:r>
    </w:p>
    <w:p>
      <w:pPr>
        <w:spacing w:after="200" w:line="300"/>
      </w:pPr>
      <w:r>
        <w:rPr>
          <w:rFonts w:ascii="Calibri" w:cs="Calibri" w:eastAsia="Calibri" w:hAnsi="Calibri"/>
          <w:sz w:val="22"/>
          <w:szCs w:val="22"/>
        </w:rPr>
        <w:t xml:space="preserve">apex/attacks/direct.py sends each entry in a 14-payload library straight to VICTIM as a chat message and classifies the response. The library spans six categories:</w:t>
      </w:r>
    </w:p>
    <w:tbl>
      <w:tblPr>
        <w:tblW w:type="dxa" w:w="10700"/>
        <w:tblBorders>
          <w:top w:val="single" w:color="auto" w:sz="4"/>
          <w:left w:val="single" w:color="auto" w:sz="4"/>
          <w:bottom w:val="single" w:color="auto" w:sz="4"/>
          <w:right w:val="single" w:color="auto" w:sz="4"/>
          <w:insideH w:val="single" w:color="auto" w:sz="4"/>
          <w:insideV w:val="single" w:color="auto" w:sz="4"/>
        </w:tblBorders>
      </w:tblPr>
      <w:tblGrid>
        <w:gridCol w:w="3000"/>
        <w:gridCol w:w="5800"/>
        <w:gridCol w:w="1900"/>
      </w:tblGrid>
      <w:tr>
        <w:tc>
          <w:tcPr>
            <w:tcW w:type="dxa" w:w="3000"/>
            <w:shd w:fill="1a1a19" w:val="clear"/>
            <w:tcMar>
              <w:top w:type="dxa" w:w="100"/>
              <w:left w:type="dxa" w:w="120"/>
              <w:bottom w:type="dxa" w:w="100"/>
              <w:right w:type="dxa" w:w="120"/>
            </w:tcMar>
          </w:tcPr>
          <w:p>
            <w:r>
              <w:rPr>
                <w:rFonts w:ascii="Calibri" w:cs="Calibri" w:eastAsia="Calibri" w:hAnsi="Calibri"/>
                <w:b/>
                <w:bCs/>
                <w:color w:val="ffffff"/>
                <w:sz w:val="20"/>
                <w:szCs w:val="20"/>
              </w:rPr>
              <w:t xml:space="preserve">Category</w:t>
            </w:r>
          </w:p>
        </w:tc>
        <w:tc>
          <w:tcPr>
            <w:tcW w:type="dxa" w:w="5800"/>
            <w:shd w:fill="1a1a19" w:val="clear"/>
            <w:tcMar>
              <w:top w:type="dxa" w:w="100"/>
              <w:left w:type="dxa" w:w="120"/>
              <w:bottom w:type="dxa" w:w="100"/>
              <w:right w:type="dxa" w:w="120"/>
            </w:tcMar>
          </w:tcPr>
          <w:p>
            <w:r>
              <w:rPr>
                <w:rFonts w:ascii="Calibri" w:cs="Calibri" w:eastAsia="Calibri" w:hAnsi="Calibri"/>
                <w:b/>
                <w:bCs/>
                <w:color w:val="ffffff"/>
                <w:sz w:val="20"/>
                <w:szCs w:val="20"/>
              </w:rPr>
              <w:t xml:space="preserve">Idea</w:t>
            </w:r>
          </w:p>
        </w:tc>
        <w:tc>
          <w:tcPr>
            <w:tcW w:type="dxa" w:w="1900"/>
            <w:shd w:fill="1a1a19" w:val="clear"/>
            <w:tcMar>
              <w:top w:type="dxa" w:w="100"/>
              <w:left w:type="dxa" w:w="120"/>
              <w:bottom w:type="dxa" w:w="100"/>
              <w:right w:type="dxa" w:w="120"/>
            </w:tcMar>
          </w:tcPr>
          <w:p>
            <w:r>
              <w:rPr>
                <w:rFonts w:ascii="Calibri" w:cs="Calibri" w:eastAsia="Calibri" w:hAnsi="Calibri"/>
                <w:b/>
                <w:bCs/>
                <w:color w:val="ffffff"/>
                <w:sz w:val="20"/>
                <w:szCs w:val="20"/>
              </w:rPr>
              <w:t xml:space="preserve">Payload count</w:t>
            </w:r>
          </w:p>
        </w:tc>
      </w:tr>
      <w:tr>
        <w:tc>
          <w:tcPr>
            <w:tcW w:type="dxa" w:w="3000"/>
            <w:shd w:fill="ffffff" w:val="clear"/>
            <w:tcMar>
              <w:top w:type="dxa" w:w="100"/>
              <w:left w:type="dxa" w:w="120"/>
              <w:bottom w:type="dxa" w:w="100"/>
              <w:right w:type="dxa" w:w="120"/>
            </w:tcMar>
          </w:tcPr>
          <w:p>
            <w:r>
              <w:rPr>
                <w:rFonts w:ascii="Consolas" w:cs="Consolas" w:eastAsia="Consolas" w:hAnsi="Consolas"/>
                <w:b w:val="false"/>
                <w:bCs w:val="false"/>
                <w:color w:val="0b0b0b"/>
                <w:sz w:val="20"/>
                <w:szCs w:val="20"/>
              </w:rPr>
              <w:t xml:space="preserve">Instruction override</w:t>
            </w:r>
          </w:p>
        </w:tc>
        <w:tc>
          <w:tcPr>
            <w:tcW w:type="dxa" w:w="5800"/>
            <w:shd w:fill="ffffff" w:val="clear"/>
            <w:tcMar>
              <w:top w:type="dxa" w:w="100"/>
              <w:left w:type="dxa" w:w="120"/>
              <w:bottom w:type="dxa" w:w="100"/>
              <w:right w:type="dxa" w:w="120"/>
            </w:tcMar>
          </w:tcPr>
          <w:p>
            <w:r>
              <w:rPr>
                <w:rFonts w:ascii="Calibri" w:cs="Calibri" w:eastAsia="Calibri" w:hAnsi="Calibri"/>
                <w:b w:val="false"/>
                <w:bCs w:val="false"/>
                <w:color w:val="0b0b0b"/>
                <w:sz w:val="20"/>
                <w:szCs w:val="20"/>
              </w:rPr>
              <w:t xml:space="preserve">Directly tells VICTIM to ignore its system prompt and reveal protected content.</w:t>
            </w:r>
          </w:p>
        </w:tc>
        <w:tc>
          <w:tcPr>
            <w:tcW w:type="dxa" w:w="1900"/>
            <w:shd w:fill="ffffff" w:val="clear"/>
            <w:tcMar>
              <w:top w:type="dxa" w:w="100"/>
              <w:left w:type="dxa" w:w="120"/>
              <w:bottom w:type="dxa" w:w="100"/>
              <w:right w:type="dxa" w:w="120"/>
            </w:tcMar>
          </w:tcPr>
          <w:p>
            <w:r>
              <w:rPr>
                <w:rFonts w:ascii="Calibri" w:cs="Calibri" w:eastAsia="Calibri" w:hAnsi="Calibri"/>
                <w:b w:val="false"/>
                <w:bCs w:val="false"/>
                <w:color w:val="0b0b0b"/>
                <w:sz w:val="20"/>
                <w:szCs w:val="20"/>
              </w:rPr>
              <w:t xml:space="preserve">2</w:t>
            </w:r>
          </w:p>
        </w:tc>
      </w:tr>
      <w:tr>
        <w:tc>
          <w:tcPr>
            <w:tcW w:type="dxa" w:w="3000"/>
            <w:shd w:fill="f5f5f3" w:val="clear"/>
            <w:tcMar>
              <w:top w:type="dxa" w:w="100"/>
              <w:left w:type="dxa" w:w="120"/>
              <w:bottom w:type="dxa" w:w="100"/>
              <w:right w:type="dxa" w:w="120"/>
            </w:tcMar>
          </w:tcPr>
          <w:p>
            <w:r>
              <w:rPr>
                <w:rFonts w:ascii="Consolas" w:cs="Consolas" w:eastAsia="Consolas" w:hAnsi="Consolas"/>
                <w:b w:val="false"/>
                <w:bCs w:val="false"/>
                <w:color w:val="0b0b0b"/>
                <w:sz w:val="20"/>
                <w:szCs w:val="20"/>
              </w:rPr>
              <w:t xml:space="preserve">Role manipulation</w:t>
            </w:r>
          </w:p>
        </w:tc>
        <w:tc>
          <w:tcPr>
            <w:tcW w:type="dxa" w:w="5800"/>
            <w:shd w:fill="f5f5f3" w:val="clear"/>
            <w:tcMar>
              <w:top w:type="dxa" w:w="100"/>
              <w:left w:type="dxa" w:w="120"/>
              <w:bottom w:type="dxa" w:w="100"/>
              <w:right w:type="dxa" w:w="120"/>
            </w:tcMar>
          </w:tcPr>
          <w:p>
            <w:r>
              <w:rPr>
                <w:rFonts w:ascii="Calibri" w:cs="Calibri" w:eastAsia="Calibri" w:hAnsi="Calibri"/>
                <w:b w:val="false"/>
                <w:bCs w:val="false"/>
                <w:color w:val="0b0b0b"/>
                <w:sz w:val="20"/>
                <w:szCs w:val="20"/>
              </w:rPr>
              <w:t xml:space="preserve">Tries to convince VICTIM it is a different, unrestricted persona.</w:t>
            </w:r>
          </w:p>
        </w:tc>
        <w:tc>
          <w:tcPr>
            <w:tcW w:type="dxa" w:w="1900"/>
            <w:shd w:fill="f5f5f3" w:val="clear"/>
            <w:tcMar>
              <w:top w:type="dxa" w:w="100"/>
              <w:left w:type="dxa" w:w="120"/>
              <w:bottom w:type="dxa" w:w="100"/>
              <w:right w:type="dxa" w:w="120"/>
            </w:tcMar>
          </w:tcPr>
          <w:p>
            <w:r>
              <w:rPr>
                <w:rFonts w:ascii="Calibri" w:cs="Calibri" w:eastAsia="Calibri" w:hAnsi="Calibri"/>
                <w:b w:val="false"/>
                <w:bCs w:val="false"/>
                <w:color w:val="0b0b0b"/>
                <w:sz w:val="20"/>
                <w:szCs w:val="20"/>
              </w:rPr>
              <w:t xml:space="preserve">2</w:t>
            </w:r>
          </w:p>
        </w:tc>
      </w:tr>
      <w:tr>
        <w:tc>
          <w:tcPr>
            <w:tcW w:type="dxa" w:w="3000"/>
            <w:shd w:fill="ffffff" w:val="clear"/>
            <w:tcMar>
              <w:top w:type="dxa" w:w="100"/>
              <w:left w:type="dxa" w:w="120"/>
              <w:bottom w:type="dxa" w:w="100"/>
              <w:right w:type="dxa" w:w="120"/>
            </w:tcMar>
          </w:tcPr>
          <w:p>
            <w:r>
              <w:rPr>
                <w:rFonts w:ascii="Consolas" w:cs="Consolas" w:eastAsia="Consolas" w:hAnsi="Consolas"/>
                <w:b w:val="false"/>
                <w:bCs w:val="false"/>
                <w:color w:val="0b0b0b"/>
                <w:sz w:val="20"/>
                <w:szCs w:val="20"/>
              </w:rPr>
              <w:t xml:space="preserve">Context / jailbreak framing</w:t>
            </w:r>
          </w:p>
        </w:tc>
        <w:tc>
          <w:tcPr>
            <w:tcW w:type="dxa" w:w="5800"/>
            <w:shd w:fill="ffffff" w:val="clear"/>
            <w:tcMar>
              <w:top w:type="dxa" w:w="100"/>
              <w:left w:type="dxa" w:w="120"/>
              <w:bottom w:type="dxa" w:w="100"/>
              <w:right w:type="dxa" w:w="120"/>
            </w:tcMar>
          </w:tcPr>
          <w:p>
            <w:r>
              <w:rPr>
                <w:rFonts w:ascii="Calibri" w:cs="Calibri" w:eastAsia="Calibri" w:hAnsi="Calibri"/>
                <w:b w:val="false"/>
                <w:bCs w:val="false"/>
                <w:color w:val="0b0b0b"/>
                <w:sz w:val="20"/>
                <w:szCs w:val="20"/>
              </w:rPr>
              <w:t xml:space="preserve">Wraps the request in a fictional frame (a screenplay, a hypothetical) to bypass VICTIM's judgment.</w:t>
            </w:r>
          </w:p>
        </w:tc>
        <w:tc>
          <w:tcPr>
            <w:tcW w:type="dxa" w:w="1900"/>
            <w:shd w:fill="ffffff" w:val="clear"/>
            <w:tcMar>
              <w:top w:type="dxa" w:w="100"/>
              <w:left w:type="dxa" w:w="120"/>
              <w:bottom w:type="dxa" w:w="100"/>
              <w:right w:type="dxa" w:w="120"/>
            </w:tcMar>
          </w:tcPr>
          <w:p>
            <w:r>
              <w:rPr>
                <w:rFonts w:ascii="Calibri" w:cs="Calibri" w:eastAsia="Calibri" w:hAnsi="Calibri"/>
                <w:b w:val="false"/>
                <w:bCs w:val="false"/>
                <w:color w:val="0b0b0b"/>
                <w:sz w:val="20"/>
                <w:szCs w:val="20"/>
              </w:rPr>
              <w:t xml:space="preserve">3</w:t>
            </w:r>
          </w:p>
        </w:tc>
      </w:tr>
      <w:tr>
        <w:tc>
          <w:tcPr>
            <w:tcW w:type="dxa" w:w="3000"/>
            <w:shd w:fill="f5f5f3" w:val="clear"/>
            <w:tcMar>
              <w:top w:type="dxa" w:w="100"/>
              <w:left w:type="dxa" w:w="120"/>
              <w:bottom w:type="dxa" w:w="100"/>
              <w:right w:type="dxa" w:w="120"/>
            </w:tcMar>
          </w:tcPr>
          <w:p>
            <w:r>
              <w:rPr>
                <w:rFonts w:ascii="Consolas" w:cs="Consolas" w:eastAsia="Consolas" w:hAnsi="Consolas"/>
                <w:b w:val="false"/>
                <w:bCs w:val="false"/>
                <w:color w:val="0b0b0b"/>
                <w:sz w:val="20"/>
                <w:szCs w:val="20"/>
              </w:rPr>
              <w:t xml:space="preserve">Information disclosure</w:t>
            </w:r>
          </w:p>
        </w:tc>
        <w:tc>
          <w:tcPr>
            <w:tcW w:type="dxa" w:w="5800"/>
            <w:shd w:fill="f5f5f3" w:val="clear"/>
            <w:tcMar>
              <w:top w:type="dxa" w:w="100"/>
              <w:left w:type="dxa" w:w="120"/>
              <w:bottom w:type="dxa" w:w="100"/>
              <w:right w:type="dxa" w:w="120"/>
            </w:tcMar>
          </w:tcPr>
          <w:p>
            <w:r>
              <w:rPr>
                <w:rFonts w:ascii="Calibri" w:cs="Calibri" w:eastAsia="Calibri" w:hAnsi="Calibri"/>
                <w:b w:val="false"/>
                <w:bCs w:val="false"/>
                <w:color w:val="0b0b0b"/>
                <w:sz w:val="20"/>
                <w:szCs w:val="20"/>
              </w:rPr>
              <w:t xml:space="preserve">Asks directly and plainly for confidential figures VICTIM shouldn't share.</w:t>
            </w:r>
          </w:p>
        </w:tc>
        <w:tc>
          <w:tcPr>
            <w:tcW w:type="dxa" w:w="1900"/>
            <w:shd w:fill="f5f5f3" w:val="clear"/>
            <w:tcMar>
              <w:top w:type="dxa" w:w="100"/>
              <w:left w:type="dxa" w:w="120"/>
              <w:bottom w:type="dxa" w:w="100"/>
              <w:right w:type="dxa" w:w="120"/>
            </w:tcMar>
          </w:tcPr>
          <w:p>
            <w:r>
              <w:rPr>
                <w:rFonts w:ascii="Calibri" w:cs="Calibri" w:eastAsia="Calibri" w:hAnsi="Calibri"/>
                <w:b w:val="false"/>
                <w:bCs w:val="false"/>
                <w:color w:val="0b0b0b"/>
                <w:sz w:val="20"/>
                <w:szCs w:val="20"/>
              </w:rPr>
              <w:t xml:space="preserve">3</w:t>
            </w:r>
          </w:p>
        </w:tc>
      </w:tr>
      <w:tr>
        <w:tc>
          <w:tcPr>
            <w:tcW w:type="dxa" w:w="3000"/>
            <w:shd w:fill="ffffff" w:val="clear"/>
            <w:tcMar>
              <w:top w:type="dxa" w:w="100"/>
              <w:left w:type="dxa" w:w="120"/>
              <w:bottom w:type="dxa" w:w="100"/>
              <w:right w:type="dxa" w:w="120"/>
            </w:tcMar>
          </w:tcPr>
          <w:p>
            <w:r>
              <w:rPr>
                <w:rFonts w:ascii="Consolas" w:cs="Consolas" w:eastAsia="Consolas" w:hAnsi="Consolas"/>
                <w:b w:val="false"/>
                <w:bCs w:val="false"/>
                <w:color w:val="0b0b0b"/>
                <w:sz w:val="20"/>
                <w:szCs w:val="20"/>
              </w:rPr>
              <w:t xml:space="preserve">Authority impersonation</w:t>
            </w:r>
          </w:p>
        </w:tc>
        <w:tc>
          <w:tcPr>
            <w:tcW w:type="dxa" w:w="5800"/>
            <w:shd w:fill="ffffff" w:val="clear"/>
            <w:tcMar>
              <w:top w:type="dxa" w:w="100"/>
              <w:left w:type="dxa" w:w="120"/>
              <w:bottom w:type="dxa" w:w="100"/>
              <w:right w:type="dxa" w:w="120"/>
            </w:tcMar>
          </w:tcPr>
          <w:p>
            <w:r>
              <w:rPr>
                <w:rFonts w:ascii="Calibri" w:cs="Calibri" w:eastAsia="Calibri" w:hAnsi="Calibri"/>
                <w:b w:val="false"/>
                <w:bCs w:val="false"/>
                <w:color w:val="0b0b0b"/>
                <w:sz w:val="20"/>
                <w:szCs w:val="20"/>
              </w:rPr>
              <w:t xml:space="preserve">Poses as an HR director, compliance auditor, or other authority figure who "needs" the data.</w:t>
            </w:r>
          </w:p>
        </w:tc>
        <w:tc>
          <w:tcPr>
            <w:tcW w:type="dxa" w:w="1900"/>
            <w:shd w:fill="ffffff" w:val="clear"/>
            <w:tcMar>
              <w:top w:type="dxa" w:w="100"/>
              <w:left w:type="dxa" w:w="120"/>
              <w:bottom w:type="dxa" w:w="100"/>
              <w:right w:type="dxa" w:w="120"/>
            </w:tcMar>
          </w:tcPr>
          <w:p>
            <w:r>
              <w:rPr>
                <w:rFonts w:ascii="Calibri" w:cs="Calibri" w:eastAsia="Calibri" w:hAnsi="Calibri"/>
                <w:b w:val="false"/>
                <w:bCs w:val="false"/>
                <w:color w:val="0b0b0b"/>
                <w:sz w:val="20"/>
                <w:szCs w:val="20"/>
              </w:rPr>
              <w:t xml:space="preserve">3</w:t>
            </w:r>
          </w:p>
        </w:tc>
      </w:tr>
      <w:tr>
        <w:tc>
          <w:tcPr>
            <w:tcW w:type="dxa" w:w="3000"/>
            <w:shd w:fill="f5f5f3" w:val="clear"/>
            <w:tcMar>
              <w:top w:type="dxa" w:w="100"/>
              <w:left w:type="dxa" w:w="120"/>
              <w:bottom w:type="dxa" w:w="100"/>
              <w:right w:type="dxa" w:w="120"/>
            </w:tcMar>
          </w:tcPr>
          <w:p>
            <w:r>
              <w:rPr>
                <w:rFonts w:ascii="Consolas" w:cs="Consolas" w:eastAsia="Consolas" w:hAnsi="Consolas"/>
                <w:b w:val="false"/>
                <w:bCs w:val="false"/>
                <w:color w:val="0b0b0b"/>
                <w:sz w:val="20"/>
                <w:szCs w:val="20"/>
              </w:rPr>
              <w:t xml:space="preserve">Encoding obfuscation</w:t>
            </w:r>
          </w:p>
        </w:tc>
        <w:tc>
          <w:tcPr>
            <w:tcW w:type="dxa" w:w="5800"/>
            <w:shd w:fill="f5f5f3" w:val="clear"/>
            <w:tcMar>
              <w:top w:type="dxa" w:w="100"/>
              <w:left w:type="dxa" w:w="120"/>
              <w:bottom w:type="dxa" w:w="100"/>
              <w:right w:type="dxa" w:w="120"/>
            </w:tcMar>
          </w:tcPr>
          <w:p>
            <w:r>
              <w:rPr>
                <w:rFonts w:ascii="Calibri" w:cs="Calibri" w:eastAsia="Calibri" w:hAnsi="Calibri"/>
                <w:b w:val="false"/>
                <w:bCs w:val="false"/>
                <w:color w:val="0b0b0b"/>
                <w:sz w:val="20"/>
                <w:szCs w:val="20"/>
              </w:rPr>
              <w:t xml:space="preserve">Hides the request inside base64 to see whether VICTIM decodes and follows it (it does not — VICTIM's router is keyword-based, not a decoder, so this one is deliberately resisted).</w:t>
            </w:r>
          </w:p>
        </w:tc>
        <w:tc>
          <w:tcPr>
            <w:tcW w:type="dxa" w:w="1900"/>
            <w:shd w:fill="f5f5f3" w:val="clear"/>
            <w:tcMar>
              <w:top w:type="dxa" w:w="100"/>
              <w:left w:type="dxa" w:w="120"/>
              <w:bottom w:type="dxa" w:w="100"/>
              <w:right w:type="dxa" w:w="120"/>
            </w:tcMar>
          </w:tcPr>
          <w:p>
            <w:r>
              <w:rPr>
                <w:rFonts w:ascii="Calibri" w:cs="Calibri" w:eastAsia="Calibri" w:hAnsi="Calibri"/>
                <w:b w:val="false"/>
                <w:bCs w:val="false"/>
                <w:color w:val="0b0b0b"/>
                <w:sz w:val="20"/>
                <w:szCs w:val="20"/>
              </w:rPr>
              <w:t xml:space="preserve">1</w:t>
            </w:r>
          </w:p>
        </w:tc>
      </w:tr>
    </w:tbl>
    <w:p>
      <w:pPr>
        <w:spacing w:after="200"/>
      </w:pPr>
    </w:p>
    <w:p>
      <w:pPr>
        <w:spacing w:after="200" w:line="300"/>
      </w:pPr>
      <w:r>
        <w:rPr>
          <w:rFonts w:ascii="Calibri" w:cs="Calibri" w:eastAsia="Calibri" w:hAnsi="Calibri"/>
          <w:sz w:val="22"/>
          <w:szCs w:val="22"/>
        </w:rPr>
        <w:t xml:space="preserve">Every payload's actual outcome was verified empirically — run against a real VICTIM instance and inspected — rather than assumed. One payload (system_prompt_leak) required two rewrites after an early draft accidentally scored a false-positive keyword match against an unrelated confidential document.</w:t>
      </w:r>
    </w:p>
    <w:p>
      <w:pPr>
        <w:pStyle w:val="Heading2"/>
        <w:spacing w:after="120" w:before="280"/>
      </w:pPr>
      <w:r>
        <w:t xml:space="preserve">5.2 Indirect prompt injection</w:t>
      </w:r>
    </w:p>
    <w:p>
      <w:pPr>
        <w:spacing w:after="200" w:line="300"/>
      </w:pPr>
      <w:r>
        <w:rPr>
          <w:rFonts w:ascii="Calibri" w:cs="Calibri" w:eastAsia="Calibri" w:hAnsi="Calibri"/>
          <w:sz w:val="22"/>
          <w:szCs w:val="22"/>
        </w:rPr>
        <w:t xml:space="preserve">apex/attacks/indirect.py demonstrates a more subtle and arguably more realistic attack: APEX sends VICTIM only a completely benign request ("please read this file for me") — no attack text ever crosses the wire directly. The document VICTIM is asked to read looks like an ordinary internal memo but contains a hidden instruction (concealed in an HTML comment) telling VICTIM to retrieve confidential data and email it to an external address. Two such scenarios exist: one targeting the HR compensation policy, one targeting the internal financial report, each with its own document and its own attacker-controlled exfiltration address.</w:t>
      </w:r>
    </w:p>
    <w:p>
      <w:pPr>
        <w:spacing w:after="200" w:line="300"/>
      </w:pPr>
      <w:r>
        <w:rPr>
          <w:rFonts w:ascii="Calibri" w:cs="Calibri" w:eastAsia="Calibri" w:hAnsi="Calibri"/>
          <w:sz w:val="22"/>
          <w:szCs w:val="22"/>
        </w:rPr>
        <w:t xml:space="preserve">Detection works by checking apex/attacker_mailbox.py, which reads the same local sent_emails table VICTIM's own mock email tool writes to — legitimate here only because APEX itself controls the exfiltration address embedded in the document; in a real engagement that inbox would genuinely belong to the attacker and be reached over the network.</w:t>
      </w:r>
    </w:p>
    <w:p>
      <w:pPr>
        <w:pStyle w:val="Heading2"/>
        <w:spacing w:after="120" w:before="280"/>
      </w:pPr>
      <w:r>
        <w:t xml:space="preserve">5.3 Classification</w:t>
      </w:r>
    </w:p>
    <w:p>
      <w:pPr>
        <w:spacing w:after="200" w:line="300"/>
      </w:pPr>
      <w:r>
        <w:rPr>
          <w:rFonts w:ascii="Calibri" w:cs="Calibri" w:eastAsia="Calibri" w:hAnsi="Calibri"/>
          <w:sz w:val="22"/>
          <w:szCs w:val="22"/>
        </w:rPr>
        <w:t xml:space="preserve">apex/classify.py implements classify_response(payload, response) -&gt; (Classification, reason), a deterministic function that checks a response against two sets of known confidential-content markers — strong markers (e.g. specific compensation figures, cash-reserve numbers) that indicate a full leak, and weak markers (e.g. the word “confidential” appearing alongside a refusal) that indicate a partial one. The result is one of SAFE, PARTIAL_SUCCESS, SUCCESS, or ERROR. This logic is intentionally simple and explainable, and is kept behind one stable function signature specifically so a future learned judge (a fine-tuned BERT model, or an LLM-as-judge) could replace it without any caller needing to change.</w:t>
      </w:r>
    </w:p>
    <w:p>
      <w:pPr>
        <w:pStyle w:val="Heading1"/>
        <w:spacing w:after="160" w:before="360"/>
      </w:pPr>
      <w:r>
        <w:t xml:space="preserve">6. Data Model &amp; Persistence</w:t>
      </w:r>
    </w:p>
    <w:p>
      <w:pPr>
        <w:spacing w:after="200" w:line="300"/>
      </w:pPr>
      <w:r>
        <w:rPr>
          <w:rFonts w:ascii="Calibri" w:cs="Calibri" w:eastAsia="Calibri" w:hAnsi="Calibri"/>
          <w:sz w:val="22"/>
          <w:szCs w:val="22"/>
        </w:rPr>
        <w:t xml:space="preserve">All state lives in a single local SQLite file (storage/apex.db), defined by storage/schema.sql and self-healing on every connection (missing tables are created automatically, so a fresh or corrupted database file never breaks the dashboard).</w:t>
      </w:r>
    </w:p>
    <w:tbl>
      <w:tblPr>
        <w:tblW w:type="dxa" w:w="1070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4700"/>
      </w:tblGrid>
      <w:tr>
        <w:tc>
          <w:tcPr>
            <w:tcW w:type="dxa" w:w="1800"/>
            <w:shd w:fill="1a1a19" w:val="clear"/>
            <w:tcMar>
              <w:top w:type="dxa" w:w="100"/>
              <w:left w:type="dxa" w:w="120"/>
              <w:bottom w:type="dxa" w:w="100"/>
              <w:right w:type="dxa" w:w="120"/>
            </w:tcMar>
          </w:tcPr>
          <w:p>
            <w:r>
              <w:rPr>
                <w:rFonts w:ascii="Calibri" w:cs="Calibri" w:eastAsia="Calibri" w:hAnsi="Calibri"/>
                <w:b/>
                <w:bCs/>
                <w:color w:val="ffffff"/>
                <w:sz w:val="20"/>
                <w:szCs w:val="20"/>
              </w:rPr>
              <w:t xml:space="preserve">Table</w:t>
            </w:r>
          </w:p>
        </w:tc>
        <w:tc>
          <w:tcPr>
            <w:tcW w:type="dxa" w:w="4200"/>
            <w:shd w:fill="1a1a19" w:val="clear"/>
            <w:tcMar>
              <w:top w:type="dxa" w:w="100"/>
              <w:left w:type="dxa" w:w="120"/>
              <w:bottom w:type="dxa" w:w="100"/>
              <w:right w:type="dxa" w:w="120"/>
            </w:tcMar>
          </w:tcPr>
          <w:p>
            <w:r>
              <w:rPr>
                <w:rFonts w:ascii="Calibri" w:cs="Calibri" w:eastAsia="Calibri" w:hAnsi="Calibri"/>
                <w:b/>
                <w:bCs/>
                <w:color w:val="ffffff"/>
                <w:sz w:val="20"/>
                <w:szCs w:val="20"/>
              </w:rPr>
              <w:t xml:space="preserve">Purpose</w:t>
            </w:r>
          </w:p>
        </w:tc>
        <w:tc>
          <w:tcPr>
            <w:tcW w:type="dxa" w:w="4700"/>
            <w:shd w:fill="1a1a19" w:val="clear"/>
            <w:tcMar>
              <w:top w:type="dxa" w:w="100"/>
              <w:left w:type="dxa" w:w="120"/>
              <w:bottom w:type="dxa" w:w="100"/>
              <w:right w:type="dxa" w:w="120"/>
            </w:tcMar>
          </w:tcPr>
          <w:p>
            <w:r>
              <w:rPr>
                <w:rFonts w:ascii="Calibri" w:cs="Calibri" w:eastAsia="Calibri" w:hAnsi="Calibri"/>
                <w:b/>
                <w:bCs/>
                <w:color w:val="ffffff"/>
                <w:sz w:val="20"/>
                <w:szCs w:val="20"/>
              </w:rPr>
              <w:t xml:space="preserve">Key columns</w:t>
            </w:r>
          </w:p>
        </w:tc>
      </w:tr>
      <w:tr>
        <w:tc>
          <w:tcPr>
            <w:tcW w:type="dxa" w:w="1800"/>
            <w:shd w:fill="ffffff" w:val="clear"/>
            <w:tcMar>
              <w:top w:type="dxa" w:w="100"/>
              <w:left w:type="dxa" w:w="120"/>
              <w:bottom w:type="dxa" w:w="100"/>
              <w:right w:type="dxa" w:w="120"/>
            </w:tcMar>
          </w:tcPr>
          <w:p>
            <w:r>
              <w:rPr>
                <w:rFonts w:ascii="Consolas" w:cs="Consolas" w:eastAsia="Consolas" w:hAnsi="Consolas"/>
                <w:b w:val="false"/>
                <w:bCs w:val="false"/>
                <w:color w:val="0b0b0b"/>
                <w:sz w:val="20"/>
                <w:szCs w:val="20"/>
              </w:rPr>
              <w:t xml:space="preserve">assessments</w:t>
            </w:r>
          </w:p>
        </w:tc>
        <w:tc>
          <w:tcPr>
            <w:tcW w:type="dxa" w:w="4200"/>
            <w:shd w:fill="ffffff" w:val="clear"/>
            <w:tcMar>
              <w:top w:type="dxa" w:w="100"/>
              <w:left w:type="dxa" w:w="120"/>
              <w:bottom w:type="dxa" w:w="100"/>
              <w:right w:type="dxa" w:w="120"/>
            </w:tcMar>
          </w:tcPr>
          <w:p>
            <w:r>
              <w:rPr>
                <w:rFonts w:ascii="Calibri" w:cs="Calibri" w:eastAsia="Calibri" w:hAnsi="Calibri"/>
                <w:b w:val="false"/>
                <w:bCs w:val="false"/>
                <w:color w:val="0b0b0b"/>
                <w:sz w:val="20"/>
                <w:szCs w:val="20"/>
              </w:rPr>
              <w:t xml:space="preserve">One row per assessment run.</w:t>
            </w:r>
          </w:p>
        </w:tc>
        <w:tc>
          <w:tcPr>
            <w:tcW w:type="dxa" w:w="4700"/>
            <w:shd w:fill="ffffff" w:val="clear"/>
            <w:tcMar>
              <w:top w:type="dxa" w:w="100"/>
              <w:left w:type="dxa" w:w="120"/>
              <w:bottom w:type="dxa" w:w="100"/>
              <w:right w:type="dxa" w:w="120"/>
            </w:tcMar>
          </w:tcPr>
          <w:p>
            <w:r>
              <w:rPr>
                <w:rFonts w:ascii="Calibri" w:cs="Calibri" w:eastAsia="Calibri" w:hAnsi="Calibri"/>
                <w:b w:val="false"/>
                <w:bCs w:val="false"/>
                <w:color w:val="0b0b0b"/>
                <w:sz w:val="20"/>
                <w:szCs w:val="20"/>
              </w:rPr>
              <w:t xml:space="preserve">target_name, started_at, finished_at, status, target_profile (JSON)</w:t>
            </w:r>
          </w:p>
        </w:tc>
      </w:tr>
      <w:tr>
        <w:tc>
          <w:tcPr>
            <w:tcW w:type="dxa" w:w="1800"/>
            <w:shd w:fill="f5f5f3" w:val="clear"/>
            <w:tcMar>
              <w:top w:type="dxa" w:w="100"/>
              <w:left w:type="dxa" w:w="120"/>
              <w:bottom w:type="dxa" w:w="100"/>
              <w:right w:type="dxa" w:w="120"/>
            </w:tcMar>
          </w:tcPr>
          <w:p>
            <w:r>
              <w:rPr>
                <w:rFonts w:ascii="Consolas" w:cs="Consolas" w:eastAsia="Consolas" w:hAnsi="Consolas"/>
                <w:b w:val="false"/>
                <w:bCs w:val="false"/>
                <w:color w:val="0b0b0b"/>
                <w:sz w:val="20"/>
                <w:szCs w:val="20"/>
              </w:rPr>
              <w:t xml:space="preserve">attacks</w:t>
            </w:r>
          </w:p>
        </w:tc>
        <w:tc>
          <w:tcPr>
            <w:tcW w:type="dxa" w:w="4200"/>
            <w:shd w:fill="f5f5f3" w:val="clear"/>
            <w:tcMar>
              <w:top w:type="dxa" w:w="100"/>
              <w:left w:type="dxa" w:w="120"/>
              <w:bottom w:type="dxa" w:w="100"/>
              <w:right w:type="dxa" w:w="120"/>
            </w:tcMar>
          </w:tcPr>
          <w:p>
            <w:r>
              <w:rPr>
                <w:rFonts w:ascii="Calibri" w:cs="Calibri" w:eastAsia="Calibri" w:hAnsi="Calibri"/>
                <w:b w:val="false"/>
                <w:bCs w:val="false"/>
                <w:color w:val="0b0b0b"/>
                <w:sz w:val="20"/>
                <w:szCs w:val="20"/>
              </w:rPr>
              <w:t xml:space="preserve">One row per attempt — every payload/scenario tried, including resisted ones.</w:t>
            </w:r>
          </w:p>
        </w:tc>
        <w:tc>
          <w:tcPr>
            <w:tcW w:type="dxa" w:w="4700"/>
            <w:shd w:fill="f5f5f3" w:val="clear"/>
            <w:tcMar>
              <w:top w:type="dxa" w:w="100"/>
              <w:left w:type="dxa" w:w="120"/>
              <w:bottom w:type="dxa" w:w="100"/>
              <w:right w:type="dxa" w:w="120"/>
            </w:tcMar>
          </w:tcPr>
          <w:p>
            <w:r>
              <w:rPr>
                <w:rFonts w:ascii="Calibri" w:cs="Calibri" w:eastAsia="Calibri" w:hAnsi="Calibri"/>
                <w:b w:val="false"/>
                <w:bCs w:val="false"/>
                <w:color w:val="0b0b0b"/>
                <w:sz w:val="20"/>
                <w:szCs w:val="20"/>
              </w:rPr>
              <w:t xml:space="preserve">assessment_id, attack_type, payload, response, classification, classified_why, timestamp</w:t>
            </w:r>
          </w:p>
        </w:tc>
      </w:tr>
      <w:tr>
        <w:tc>
          <w:tcPr>
            <w:tcW w:type="dxa" w:w="1800"/>
            <w:shd w:fill="ffffff" w:val="clear"/>
            <w:tcMar>
              <w:top w:type="dxa" w:w="100"/>
              <w:left w:type="dxa" w:w="120"/>
              <w:bottom w:type="dxa" w:w="100"/>
              <w:right w:type="dxa" w:w="120"/>
            </w:tcMar>
          </w:tcPr>
          <w:p>
            <w:r>
              <w:rPr>
                <w:rFonts w:ascii="Consolas" w:cs="Consolas" w:eastAsia="Consolas" w:hAnsi="Consolas"/>
                <w:b w:val="false"/>
                <w:bCs w:val="false"/>
                <w:color w:val="0b0b0b"/>
                <w:sz w:val="20"/>
                <w:szCs w:val="20"/>
              </w:rPr>
              <w:t xml:space="preserve">findings</w:t>
            </w:r>
          </w:p>
        </w:tc>
        <w:tc>
          <w:tcPr>
            <w:tcW w:type="dxa" w:w="4200"/>
            <w:shd w:fill="ffffff" w:val="clear"/>
            <w:tcMar>
              <w:top w:type="dxa" w:w="100"/>
              <w:left w:type="dxa" w:w="120"/>
              <w:bottom w:type="dxa" w:w="100"/>
              <w:right w:type="dxa" w:w="120"/>
            </w:tcMar>
          </w:tcPr>
          <w:p>
            <w:r>
              <w:rPr>
                <w:rFonts w:ascii="Calibri" w:cs="Calibri" w:eastAsia="Calibri" w:hAnsi="Calibri"/>
                <w:b w:val="false"/>
                <w:bCs w:val="false"/>
                <w:color w:val="0b0b0b"/>
                <w:sz w:val="20"/>
                <w:szCs w:val="20"/>
              </w:rPr>
              <w:t xml:space="preserve">One row per attempt that succeeded, fully or partially.</w:t>
            </w:r>
          </w:p>
        </w:tc>
        <w:tc>
          <w:tcPr>
            <w:tcW w:type="dxa" w:w="4700"/>
            <w:shd w:fill="ffffff" w:val="clear"/>
            <w:tcMar>
              <w:top w:type="dxa" w:w="100"/>
              <w:left w:type="dxa" w:w="120"/>
              <w:bottom w:type="dxa" w:w="100"/>
              <w:right w:type="dxa" w:w="120"/>
            </w:tcMar>
          </w:tcPr>
          <w:p>
            <w:r>
              <w:rPr>
                <w:rFonts w:ascii="Calibri" w:cs="Calibri" w:eastAsia="Calibri" w:hAnsi="Calibri"/>
                <w:b w:val="false"/>
                <w:bCs w:val="false"/>
                <w:color w:val="0b0b0b"/>
                <w:sz w:val="20"/>
                <w:szCs w:val="20"/>
              </w:rPr>
              <w:t xml:space="preserve">assessment_id, attack_id, title, severity, description, evidence, payload, recommendation</w:t>
            </w:r>
          </w:p>
        </w:tc>
      </w:tr>
      <w:tr>
        <w:tc>
          <w:tcPr>
            <w:tcW w:type="dxa" w:w="1800"/>
            <w:shd w:fill="f5f5f3" w:val="clear"/>
            <w:tcMar>
              <w:top w:type="dxa" w:w="100"/>
              <w:left w:type="dxa" w:w="120"/>
              <w:bottom w:type="dxa" w:w="100"/>
              <w:right w:type="dxa" w:w="120"/>
            </w:tcMar>
          </w:tcPr>
          <w:p>
            <w:r>
              <w:rPr>
                <w:rFonts w:ascii="Consolas" w:cs="Consolas" w:eastAsia="Consolas" w:hAnsi="Consolas"/>
                <w:b w:val="false"/>
                <w:bCs w:val="false"/>
                <w:color w:val="0b0b0b"/>
                <w:sz w:val="20"/>
                <w:szCs w:val="20"/>
              </w:rPr>
              <w:t xml:space="preserve">employees</w:t>
            </w:r>
          </w:p>
        </w:tc>
        <w:tc>
          <w:tcPr>
            <w:tcW w:type="dxa" w:w="4200"/>
            <w:shd w:fill="f5f5f3" w:val="clear"/>
            <w:tcMar>
              <w:top w:type="dxa" w:w="100"/>
              <w:left w:type="dxa" w:w="120"/>
              <w:bottom w:type="dxa" w:w="100"/>
              <w:right w:type="dxa" w:w="120"/>
            </w:tcMar>
          </w:tcPr>
          <w:p>
            <w:r>
              <w:rPr>
                <w:rFonts w:ascii="Calibri" w:cs="Calibri" w:eastAsia="Calibri" w:hAnsi="Calibri"/>
                <w:b w:val="false"/>
                <w:bCs w:val="false"/>
                <w:color w:val="0b0b0b"/>
                <w:sz w:val="20"/>
                <w:szCs w:val="20"/>
              </w:rPr>
              <w:t xml:space="preserve">VICTIM's own mock employee directory (used to demonstrate a database tool).</w:t>
            </w:r>
          </w:p>
        </w:tc>
        <w:tc>
          <w:tcPr>
            <w:tcW w:type="dxa" w:w="4700"/>
            <w:shd w:fill="f5f5f3" w:val="clear"/>
            <w:tcMar>
              <w:top w:type="dxa" w:w="100"/>
              <w:left w:type="dxa" w:w="120"/>
              <w:bottom w:type="dxa" w:w="100"/>
              <w:right w:type="dxa" w:w="120"/>
            </w:tcMar>
          </w:tcPr>
          <w:p>
            <w:r>
              <w:rPr>
                <w:rFonts w:ascii="Calibri" w:cs="Calibri" w:eastAsia="Calibri" w:hAnsi="Calibri"/>
                <w:b w:val="false"/>
                <w:bCs w:val="false"/>
                <w:color w:val="0b0b0b"/>
                <w:sz w:val="20"/>
                <w:szCs w:val="20"/>
              </w:rPr>
              <w:t xml:space="preserve">name, department, title, salary, email</w:t>
            </w:r>
          </w:p>
        </w:tc>
      </w:tr>
      <w:tr>
        <w:tc>
          <w:tcPr>
            <w:tcW w:type="dxa" w:w="1800"/>
            <w:shd w:fill="ffffff" w:val="clear"/>
            <w:tcMar>
              <w:top w:type="dxa" w:w="100"/>
              <w:left w:type="dxa" w:w="120"/>
              <w:bottom w:type="dxa" w:w="100"/>
              <w:right w:type="dxa" w:w="120"/>
            </w:tcMar>
          </w:tcPr>
          <w:p>
            <w:r>
              <w:rPr>
                <w:rFonts w:ascii="Consolas" w:cs="Consolas" w:eastAsia="Consolas" w:hAnsi="Consolas"/>
                <w:b w:val="false"/>
                <w:bCs w:val="false"/>
                <w:color w:val="0b0b0b"/>
                <w:sz w:val="20"/>
                <w:szCs w:val="20"/>
              </w:rPr>
              <w:t xml:space="preserve">sent_emails</w:t>
            </w:r>
          </w:p>
        </w:tc>
        <w:tc>
          <w:tcPr>
            <w:tcW w:type="dxa" w:w="4200"/>
            <w:shd w:fill="ffffff" w:val="clear"/>
            <w:tcMar>
              <w:top w:type="dxa" w:w="100"/>
              <w:left w:type="dxa" w:w="120"/>
              <w:bottom w:type="dxa" w:w="100"/>
              <w:right w:type="dxa" w:w="120"/>
            </w:tcMar>
          </w:tcPr>
          <w:p>
            <w:r>
              <w:rPr>
                <w:rFonts w:ascii="Calibri" w:cs="Calibri" w:eastAsia="Calibri" w:hAnsi="Calibri"/>
                <w:b w:val="false"/>
                <w:bCs w:val="false"/>
                <w:color w:val="0b0b0b"/>
                <w:sz w:val="20"/>
                <w:szCs w:val="20"/>
              </w:rPr>
              <w:t xml:space="preserve">VICTIM's own mock "sent mail" log — the only place an indirect-injection exfiltration can be observed.</w:t>
            </w:r>
          </w:p>
        </w:tc>
        <w:tc>
          <w:tcPr>
            <w:tcW w:type="dxa" w:w="4700"/>
            <w:shd w:fill="ffffff" w:val="clear"/>
            <w:tcMar>
              <w:top w:type="dxa" w:w="100"/>
              <w:left w:type="dxa" w:w="120"/>
              <w:bottom w:type="dxa" w:w="100"/>
              <w:right w:type="dxa" w:w="120"/>
            </w:tcMar>
          </w:tcPr>
          <w:p>
            <w:r>
              <w:rPr>
                <w:rFonts w:ascii="Calibri" w:cs="Calibri" w:eastAsia="Calibri" w:hAnsi="Calibri"/>
                <w:b w:val="false"/>
                <w:bCs w:val="false"/>
                <w:color w:val="0b0b0b"/>
                <w:sz w:val="20"/>
                <w:szCs w:val="20"/>
              </w:rPr>
              <w:t xml:space="preserve">recipient, subject, body, timestamp</w:t>
            </w:r>
          </w:p>
        </w:tc>
      </w:tr>
    </w:tbl>
    <w:p>
      <w:pPr>
        <w:spacing w:after="200"/>
      </w:pPr>
    </w:p>
    <w:p>
      <w:pPr>
        <w:spacing w:after="200" w:line="300"/>
      </w:pPr>
      <w:r>
        <w:rPr>
          <w:rFonts w:ascii="Calibri" w:cs="Calibri" w:eastAsia="Calibri" w:hAnsi="Calibri"/>
          <w:sz w:val="22"/>
          <w:szCs w:val="22"/>
        </w:rPr>
        <w:t xml:space="preserve">apex/storage.py exposes save_assessment(), list_assessments(), load_assessment(), and list_attempts() as the only way any other module touches the database, keeping persistence logic in one place.</w:t>
      </w:r>
    </w:p>
    <w:p>
      <w:pPr>
        <w:pStyle w:val="Heading1"/>
        <w:spacing w:after="160" w:before="360"/>
      </w:pPr>
      <w:r>
        <w:t xml:space="preserve">7. Build Methodology</w:t>
      </w:r>
    </w:p>
    <w:p>
      <w:pPr>
        <w:spacing w:after="200" w:line="300"/>
      </w:pPr>
      <w:r>
        <w:rPr>
          <w:rFonts w:ascii="Calibri" w:cs="Calibri" w:eastAsia="Calibri" w:hAnsi="Calibri"/>
          <w:sz w:val="22"/>
          <w:szCs w:val="22"/>
        </w:rPr>
        <w:t xml:space="preserve">The prototype was built as a strict, phase-by-phase roadmap: each phase was implemented, automatically tested, manually verified against a live run, and reported before moving on to the next — nothing progressed silently. Two extensions followed once the original ten-phase roadmap was complete.</w:t>
      </w:r>
    </w:p>
    <w:tbl>
      <w:tblPr>
        <w:tblW w:type="dxa" w:w="10700"/>
        <w:tblBorders>
          <w:top w:val="single" w:color="auto" w:sz="4"/>
          <w:left w:val="single" w:color="auto" w:sz="4"/>
          <w:bottom w:val="single" w:color="auto" w:sz="4"/>
          <w:right w:val="single" w:color="auto" w:sz="4"/>
          <w:insideH w:val="single" w:color="auto" w:sz="4"/>
          <w:insideV w:val="single" w:color="auto" w:sz="4"/>
        </w:tblBorders>
      </w:tblPr>
      <w:tblGrid>
        <w:gridCol w:w="2200"/>
        <w:gridCol w:w="8500"/>
      </w:tblGrid>
      <w:tr>
        <w:tc>
          <w:tcPr>
            <w:tcW w:type="dxa" w:w="2200"/>
            <w:shd w:fill="1a1a19" w:val="clear"/>
            <w:tcMar>
              <w:top w:type="dxa" w:w="100"/>
              <w:left w:type="dxa" w:w="120"/>
              <w:bottom w:type="dxa" w:w="100"/>
              <w:right w:type="dxa" w:w="120"/>
            </w:tcMar>
          </w:tcPr>
          <w:p>
            <w:r>
              <w:rPr>
                <w:rFonts w:ascii="Calibri" w:cs="Calibri" w:eastAsia="Calibri" w:hAnsi="Calibri"/>
                <w:b/>
                <w:bCs/>
                <w:color w:val="ffffff"/>
                <w:sz w:val="20"/>
                <w:szCs w:val="20"/>
              </w:rPr>
              <w:t xml:space="preserve">Phase</w:t>
            </w:r>
          </w:p>
        </w:tc>
        <w:tc>
          <w:tcPr>
            <w:tcW w:type="dxa" w:w="8500"/>
            <w:shd w:fill="1a1a19" w:val="clear"/>
            <w:tcMar>
              <w:top w:type="dxa" w:w="100"/>
              <w:left w:type="dxa" w:w="120"/>
              <w:bottom w:type="dxa" w:w="100"/>
              <w:right w:type="dxa" w:w="120"/>
            </w:tcMar>
          </w:tcPr>
          <w:p>
            <w:r>
              <w:rPr>
                <w:rFonts w:ascii="Calibri" w:cs="Calibri" w:eastAsia="Calibri" w:hAnsi="Calibri"/>
                <w:b/>
                <w:bCs/>
                <w:color w:val="ffffff"/>
                <w:sz w:val="20"/>
                <w:szCs w:val="20"/>
              </w:rPr>
              <w:t xml:space="preserve">Delivered</w:t>
            </w:r>
          </w:p>
        </w:tc>
      </w:tr>
      <w:tr>
        <w:tc>
          <w:tcPr>
            <w:tcW w:type="dxa" w:w="2200"/>
            <w:shd w:fill="ffffff" w:val="clear"/>
            <w:tcMar>
              <w:top w:type="dxa" w:w="100"/>
              <w:left w:type="dxa" w:w="120"/>
              <w:bottom w:type="dxa" w:w="100"/>
              <w:right w:type="dxa" w:w="120"/>
            </w:tcMar>
          </w:tcPr>
          <w:p>
            <w:r>
              <w:rPr>
                <w:rFonts w:ascii="Consolas" w:cs="Consolas" w:eastAsia="Consolas" w:hAnsi="Consolas"/>
                <w:b w:val="false"/>
                <w:bCs w:val="false"/>
                <w:color w:val="0b0b0b"/>
                <w:sz w:val="20"/>
                <w:szCs w:val="20"/>
              </w:rPr>
              <w:t xml:space="preserve">0</w:t>
            </w:r>
          </w:p>
        </w:tc>
        <w:tc>
          <w:tcPr>
            <w:tcW w:type="dxa" w:w="8500"/>
            <w:shd w:fill="ffffff" w:val="clear"/>
            <w:tcMar>
              <w:top w:type="dxa" w:w="100"/>
              <w:left w:type="dxa" w:w="120"/>
              <w:bottom w:type="dxa" w:w="100"/>
              <w:right w:type="dxa" w:w="120"/>
            </w:tcMar>
          </w:tcPr>
          <w:p>
            <w:r>
              <w:rPr>
                <w:rFonts w:ascii="Calibri" w:cs="Calibri" w:eastAsia="Calibri" w:hAnsi="Calibri"/>
                <w:b w:val="false"/>
                <w:bCs w:val="false"/>
                <w:color w:val="0b0b0b"/>
                <w:sz w:val="20"/>
                <w:szCs w:val="20"/>
              </w:rPr>
              <w:t xml:space="preserve">Project scaffold, SQLite schema, config, smoke test.</w:t>
            </w:r>
          </w:p>
        </w:tc>
      </w:tr>
      <w:tr>
        <w:tc>
          <w:tcPr>
            <w:tcW w:type="dxa" w:w="2200"/>
            <w:shd w:fill="f5f5f3" w:val="clear"/>
            <w:tcMar>
              <w:top w:type="dxa" w:w="100"/>
              <w:left w:type="dxa" w:w="120"/>
              <w:bottom w:type="dxa" w:w="100"/>
              <w:right w:type="dxa" w:w="120"/>
            </w:tcMar>
          </w:tcPr>
          <w:p>
            <w:r>
              <w:rPr>
                <w:rFonts w:ascii="Consolas" w:cs="Consolas" w:eastAsia="Consolas" w:hAnsi="Consolas"/>
                <w:b w:val="false"/>
                <w:bCs w:val="false"/>
                <w:color w:val="0b0b0b"/>
                <w:sz w:val="20"/>
                <w:szCs w:val="20"/>
              </w:rPr>
              <w:t xml:space="preserve">1</w:t>
            </w:r>
          </w:p>
        </w:tc>
        <w:tc>
          <w:tcPr>
            <w:tcW w:type="dxa" w:w="8500"/>
            <w:shd w:fill="f5f5f3" w:val="clear"/>
            <w:tcMar>
              <w:top w:type="dxa" w:w="100"/>
              <w:left w:type="dxa" w:w="120"/>
              <w:bottom w:type="dxa" w:w="100"/>
              <w:right w:type="dxa" w:w="120"/>
            </w:tcMar>
          </w:tcPr>
          <w:p>
            <w:r>
              <w:rPr>
                <w:rFonts w:ascii="Calibri" w:cs="Calibri" w:eastAsia="Calibri" w:hAnsi="Calibri"/>
                <w:b w:val="false"/>
                <w:bCs w:val="false"/>
                <w:color w:val="0b0b0b"/>
                <w:sz w:val="20"/>
                <w:szCs w:val="20"/>
              </w:rPr>
              <w:t xml:space="preserve">VICTIM runnable standalone: system prompt, keyword RAG, mock DB, mock email/file tools.</w:t>
            </w:r>
          </w:p>
        </w:tc>
      </w:tr>
      <w:tr>
        <w:tc>
          <w:tcPr>
            <w:tcW w:type="dxa" w:w="2200"/>
            <w:shd w:fill="ffffff" w:val="clear"/>
            <w:tcMar>
              <w:top w:type="dxa" w:w="100"/>
              <w:left w:type="dxa" w:w="120"/>
              <w:bottom w:type="dxa" w:w="100"/>
              <w:right w:type="dxa" w:w="120"/>
            </w:tcMar>
          </w:tcPr>
          <w:p>
            <w:r>
              <w:rPr>
                <w:rFonts w:ascii="Consolas" w:cs="Consolas" w:eastAsia="Consolas" w:hAnsi="Consolas"/>
                <w:b w:val="false"/>
                <w:bCs w:val="false"/>
                <w:color w:val="0b0b0b"/>
                <w:sz w:val="20"/>
                <w:szCs w:val="20"/>
              </w:rPr>
              <w:t xml:space="preserve">2</w:t>
            </w:r>
          </w:p>
        </w:tc>
        <w:tc>
          <w:tcPr>
            <w:tcW w:type="dxa" w:w="8500"/>
            <w:shd w:fill="ffffff" w:val="clear"/>
            <w:tcMar>
              <w:top w:type="dxa" w:w="100"/>
              <w:left w:type="dxa" w:w="120"/>
              <w:bottom w:type="dxa" w:w="100"/>
              <w:right w:type="dxa" w:w="120"/>
            </w:tcMar>
          </w:tcPr>
          <w:p>
            <w:r>
              <w:rPr>
                <w:rFonts w:ascii="Calibri" w:cs="Calibri" w:eastAsia="Calibri" w:hAnsi="Calibri"/>
                <w:b w:val="false"/>
                <w:bCs w:val="false"/>
                <w:color w:val="0b0b0b"/>
                <w:sz w:val="20"/>
                <w:szCs w:val="20"/>
              </w:rPr>
              <w:t xml:space="preserve">APEX recon: black-box capability profiling via 7 benign probes.</w:t>
            </w:r>
          </w:p>
        </w:tc>
      </w:tr>
      <w:tr>
        <w:tc>
          <w:tcPr>
            <w:tcW w:type="dxa" w:w="2200"/>
            <w:shd w:fill="f5f5f3" w:val="clear"/>
            <w:tcMar>
              <w:top w:type="dxa" w:w="100"/>
              <w:left w:type="dxa" w:w="120"/>
              <w:bottom w:type="dxa" w:w="100"/>
              <w:right w:type="dxa" w:w="120"/>
            </w:tcMar>
          </w:tcPr>
          <w:p>
            <w:r>
              <w:rPr>
                <w:rFonts w:ascii="Consolas" w:cs="Consolas" w:eastAsia="Consolas" w:hAnsi="Consolas"/>
                <w:b w:val="false"/>
                <w:bCs w:val="false"/>
                <w:color w:val="0b0b0b"/>
                <w:sz w:val="20"/>
                <w:szCs w:val="20"/>
              </w:rPr>
              <w:t xml:space="preserve">3</w:t>
            </w:r>
          </w:p>
        </w:tc>
        <w:tc>
          <w:tcPr>
            <w:tcW w:type="dxa" w:w="8500"/>
            <w:shd w:fill="f5f5f3" w:val="clear"/>
            <w:tcMar>
              <w:top w:type="dxa" w:w="100"/>
              <w:left w:type="dxa" w:w="120"/>
              <w:bottom w:type="dxa" w:w="100"/>
              <w:right w:type="dxa" w:w="120"/>
            </w:tcMar>
          </w:tcPr>
          <w:p>
            <w:r>
              <w:rPr>
                <w:rFonts w:ascii="Calibri" w:cs="Calibri" w:eastAsia="Calibri" w:hAnsi="Calibri"/>
                <w:b w:val="false"/>
                <w:bCs w:val="false"/>
                <w:color w:val="0b0b0b"/>
                <w:sz w:val="20"/>
                <w:szCs w:val="20"/>
              </w:rPr>
              <w:t xml:space="preserve">Direct-injection payload library (8 payloads) + rule-based classifier + Finding model.</w:t>
            </w:r>
          </w:p>
        </w:tc>
      </w:tr>
      <w:tr>
        <w:tc>
          <w:tcPr>
            <w:tcW w:type="dxa" w:w="2200"/>
            <w:shd w:fill="ffffff" w:val="clear"/>
            <w:tcMar>
              <w:top w:type="dxa" w:w="100"/>
              <w:left w:type="dxa" w:w="120"/>
              <w:bottom w:type="dxa" w:w="100"/>
              <w:right w:type="dxa" w:w="120"/>
            </w:tcMar>
          </w:tcPr>
          <w:p>
            <w:r>
              <w:rPr>
                <w:rFonts w:ascii="Consolas" w:cs="Consolas" w:eastAsia="Consolas" w:hAnsi="Consolas"/>
                <w:b w:val="false"/>
                <w:bCs w:val="false"/>
                <w:color w:val="0b0b0b"/>
                <w:sz w:val="20"/>
                <w:szCs w:val="20"/>
              </w:rPr>
              <w:t xml:space="preserve">4</w:t>
            </w:r>
          </w:p>
        </w:tc>
        <w:tc>
          <w:tcPr>
            <w:tcW w:type="dxa" w:w="8500"/>
            <w:shd w:fill="ffffff" w:val="clear"/>
            <w:tcMar>
              <w:top w:type="dxa" w:w="100"/>
              <w:left w:type="dxa" w:w="120"/>
              <w:bottom w:type="dxa" w:w="100"/>
              <w:right w:type="dxa" w:w="120"/>
            </w:tcMar>
          </w:tcPr>
          <w:p>
            <w:r>
              <w:rPr>
                <w:rFonts w:ascii="Calibri" w:cs="Calibri" w:eastAsia="Calibri" w:hAnsi="Calibri"/>
                <w:b w:val="false"/>
                <w:bCs w:val="false"/>
                <w:color w:val="0b0b0b"/>
                <w:sz w:val="20"/>
                <w:szCs w:val="20"/>
              </w:rPr>
              <w:t xml:space="preserve">Indirect injection via a document with a hidden instruction + a simulated attacker mailbox.</w:t>
            </w:r>
          </w:p>
        </w:tc>
      </w:tr>
      <w:tr>
        <w:tc>
          <w:tcPr>
            <w:tcW w:type="dxa" w:w="2200"/>
            <w:shd w:fill="f5f5f3" w:val="clear"/>
            <w:tcMar>
              <w:top w:type="dxa" w:w="100"/>
              <w:left w:type="dxa" w:w="120"/>
              <w:bottom w:type="dxa" w:w="100"/>
              <w:right w:type="dxa" w:w="120"/>
            </w:tcMar>
          </w:tcPr>
          <w:p>
            <w:r>
              <w:rPr>
                <w:rFonts w:ascii="Consolas" w:cs="Consolas" w:eastAsia="Consolas" w:hAnsi="Consolas"/>
                <w:b w:val="false"/>
                <w:bCs w:val="false"/>
                <w:color w:val="0b0b0b"/>
                <w:sz w:val="20"/>
                <w:szCs w:val="20"/>
              </w:rPr>
              <w:t xml:space="preserve">5</w:t>
            </w:r>
          </w:p>
        </w:tc>
        <w:tc>
          <w:tcPr>
            <w:tcW w:type="dxa" w:w="8500"/>
            <w:shd w:fill="f5f5f3" w:val="clear"/>
            <w:tcMar>
              <w:top w:type="dxa" w:w="100"/>
              <w:left w:type="dxa" w:w="120"/>
              <w:bottom w:type="dxa" w:w="100"/>
              <w:right w:type="dxa" w:w="120"/>
            </w:tcMar>
          </w:tcPr>
          <w:p>
            <w:r>
              <w:rPr>
                <w:rFonts w:ascii="Calibri" w:cs="Calibri" w:eastAsia="Calibri" w:hAnsi="Calibri"/>
                <w:b w:val="false"/>
                <w:bCs w:val="false"/>
                <w:color w:val="0b0b0b"/>
                <w:sz w:val="20"/>
                <w:szCs w:val="20"/>
              </w:rPr>
              <w:t xml:space="preserve">Sequential orchestrator tying recon and both attack modules into one AssessmentResult.</w:t>
            </w:r>
          </w:p>
        </w:tc>
      </w:tr>
      <w:tr>
        <w:tc>
          <w:tcPr>
            <w:tcW w:type="dxa" w:w="2200"/>
            <w:shd w:fill="ffffff" w:val="clear"/>
            <w:tcMar>
              <w:top w:type="dxa" w:w="100"/>
              <w:left w:type="dxa" w:w="120"/>
              <w:bottom w:type="dxa" w:w="100"/>
              <w:right w:type="dxa" w:w="120"/>
            </w:tcMar>
          </w:tcPr>
          <w:p>
            <w:r>
              <w:rPr>
                <w:rFonts w:ascii="Consolas" w:cs="Consolas" w:eastAsia="Consolas" w:hAnsi="Consolas"/>
                <w:b w:val="false"/>
                <w:bCs w:val="false"/>
                <w:color w:val="0b0b0b"/>
                <w:sz w:val="20"/>
                <w:szCs w:val="20"/>
              </w:rPr>
              <w:t xml:space="preserve">6</w:t>
            </w:r>
          </w:p>
        </w:tc>
        <w:tc>
          <w:tcPr>
            <w:tcW w:type="dxa" w:w="8500"/>
            <w:shd w:fill="ffffff" w:val="clear"/>
            <w:tcMar>
              <w:top w:type="dxa" w:w="100"/>
              <w:left w:type="dxa" w:w="120"/>
              <w:bottom w:type="dxa" w:w="100"/>
              <w:right w:type="dxa" w:w="120"/>
            </w:tcMar>
          </w:tcPr>
          <w:p>
            <w:r>
              <w:rPr>
                <w:rFonts w:ascii="Calibri" w:cs="Calibri" w:eastAsia="Calibri" w:hAnsi="Calibri"/>
                <w:b w:val="false"/>
                <w:bCs w:val="false"/>
                <w:color w:val="0b0b0b"/>
                <w:sz w:val="20"/>
                <w:szCs w:val="20"/>
              </w:rPr>
              <w:t xml:space="preserve">Streamlit dashboard — the first version meant to actually be shown to a supervisor.</w:t>
            </w:r>
          </w:p>
        </w:tc>
      </w:tr>
      <w:tr>
        <w:tc>
          <w:tcPr>
            <w:tcW w:type="dxa" w:w="2200"/>
            <w:shd w:fill="f5f5f3" w:val="clear"/>
            <w:tcMar>
              <w:top w:type="dxa" w:w="100"/>
              <w:left w:type="dxa" w:w="120"/>
              <w:bottom w:type="dxa" w:w="100"/>
              <w:right w:type="dxa" w:w="120"/>
            </w:tcMar>
          </w:tcPr>
          <w:p>
            <w:r>
              <w:rPr>
                <w:rFonts w:ascii="Consolas" w:cs="Consolas" w:eastAsia="Consolas" w:hAnsi="Consolas"/>
                <w:b w:val="false"/>
                <w:bCs w:val="false"/>
                <w:color w:val="0b0b0b"/>
                <w:sz w:val="20"/>
                <w:szCs w:val="20"/>
              </w:rPr>
              <w:t xml:space="preserve">7</w:t>
            </w:r>
          </w:p>
        </w:tc>
        <w:tc>
          <w:tcPr>
            <w:tcW w:type="dxa" w:w="8500"/>
            <w:shd w:fill="f5f5f3" w:val="clear"/>
            <w:tcMar>
              <w:top w:type="dxa" w:w="100"/>
              <w:left w:type="dxa" w:w="120"/>
              <w:bottom w:type="dxa" w:w="100"/>
              <w:right w:type="dxa" w:w="120"/>
            </w:tcMar>
          </w:tcPr>
          <w:p>
            <w:r>
              <w:rPr>
                <w:rFonts w:ascii="Calibri" w:cs="Calibri" w:eastAsia="Calibri" w:hAnsi="Calibri"/>
                <w:b w:val="false"/>
                <w:bCs w:val="false"/>
                <w:color w:val="0b0b0b"/>
                <w:sz w:val="20"/>
                <w:szCs w:val="20"/>
              </w:rPr>
              <w:t xml:space="preserve">SQLite persistence for assessment history + Markdown/HTML report generator.</w:t>
            </w:r>
          </w:p>
        </w:tc>
      </w:tr>
      <w:tr>
        <w:tc>
          <w:tcPr>
            <w:tcW w:type="dxa" w:w="2200"/>
            <w:shd w:fill="ffffff" w:val="clear"/>
            <w:tcMar>
              <w:top w:type="dxa" w:w="100"/>
              <w:left w:type="dxa" w:w="120"/>
              <w:bottom w:type="dxa" w:w="100"/>
              <w:right w:type="dxa" w:w="120"/>
            </w:tcMar>
          </w:tcPr>
          <w:p>
            <w:r>
              <w:rPr>
                <w:rFonts w:ascii="Consolas" w:cs="Consolas" w:eastAsia="Consolas" w:hAnsi="Consolas"/>
                <w:b w:val="false"/>
                <w:bCs w:val="false"/>
                <w:color w:val="0b0b0b"/>
                <w:sz w:val="20"/>
                <w:szCs w:val="20"/>
              </w:rPr>
              <w:t xml:space="preserve">8</w:t>
            </w:r>
          </w:p>
        </w:tc>
        <w:tc>
          <w:tcPr>
            <w:tcW w:type="dxa" w:w="8500"/>
            <w:shd w:fill="ffffff" w:val="clear"/>
            <w:tcMar>
              <w:top w:type="dxa" w:w="100"/>
              <w:left w:type="dxa" w:w="120"/>
              <w:bottom w:type="dxa" w:w="100"/>
              <w:right w:type="dxa" w:w="120"/>
            </w:tcMar>
          </w:tcPr>
          <w:p>
            <w:r>
              <w:rPr>
                <w:rFonts w:ascii="Calibri" w:cs="Calibri" w:eastAsia="Calibri" w:hAnsi="Calibri"/>
                <w:b w:val="false"/>
                <w:bCs w:val="false"/>
                <w:color w:val="0b0b0b"/>
                <w:sz w:val="20"/>
                <w:szCs w:val="20"/>
              </w:rPr>
              <w:t xml:space="preserve">Robustness pass: self-healing schema, malformed-input handling, friendly dashboard error states.</w:t>
            </w:r>
          </w:p>
        </w:tc>
      </w:tr>
      <w:tr>
        <w:tc>
          <w:tcPr>
            <w:tcW w:type="dxa" w:w="2200"/>
            <w:shd w:fill="f5f5f3" w:val="clear"/>
            <w:tcMar>
              <w:top w:type="dxa" w:w="100"/>
              <w:left w:type="dxa" w:w="120"/>
              <w:bottom w:type="dxa" w:w="100"/>
              <w:right w:type="dxa" w:w="120"/>
            </w:tcMar>
          </w:tcPr>
          <w:p>
            <w:r>
              <w:rPr>
                <w:rFonts w:ascii="Consolas" w:cs="Consolas" w:eastAsia="Consolas" w:hAnsi="Consolas"/>
                <w:b w:val="false"/>
                <w:bCs w:val="false"/>
                <w:color w:val="0b0b0b"/>
                <w:sz w:val="20"/>
                <w:szCs w:val="20"/>
              </w:rPr>
              <w:t xml:space="preserve">9</w:t>
            </w:r>
          </w:p>
        </w:tc>
        <w:tc>
          <w:tcPr>
            <w:tcW w:type="dxa" w:w="8500"/>
            <w:shd w:fill="f5f5f3" w:val="clear"/>
            <w:tcMar>
              <w:top w:type="dxa" w:w="100"/>
              <w:left w:type="dxa" w:w="120"/>
              <w:bottom w:type="dxa" w:w="100"/>
              <w:right w:type="dxa" w:w="120"/>
            </w:tcMar>
          </w:tcPr>
          <w:p>
            <w:r>
              <w:rPr>
                <w:rFonts w:ascii="Calibri" w:cs="Calibri" w:eastAsia="Calibri" w:hAnsi="Calibri"/>
                <w:b w:val="false"/>
                <w:bCs w:val="false"/>
                <w:color w:val="0b0b0b"/>
                <w:sz w:val="20"/>
                <w:szCs w:val="20"/>
              </w:rPr>
              <w:t xml:space="preserve">Demo script, architecture diagram, consolidated limitations document, sample report.</w:t>
            </w:r>
          </w:p>
        </w:tc>
      </w:tr>
      <w:tr>
        <w:tc>
          <w:tcPr>
            <w:tcW w:type="dxa" w:w="2200"/>
            <w:shd w:fill="ffffff" w:val="clear"/>
            <w:tcMar>
              <w:top w:type="dxa" w:w="100"/>
              <w:left w:type="dxa" w:w="120"/>
              <w:bottom w:type="dxa" w:w="100"/>
              <w:right w:type="dxa" w:w="120"/>
            </w:tcMar>
          </w:tcPr>
          <w:p>
            <w:r>
              <w:rPr>
                <w:rFonts w:ascii="Consolas" w:cs="Consolas" w:eastAsia="Consolas" w:hAnsi="Consolas"/>
                <w:b w:val="false"/>
                <w:bCs w:val="false"/>
                <w:color w:val="0b0b0b"/>
                <w:sz w:val="20"/>
                <w:szCs w:val="20"/>
              </w:rPr>
              <w:t xml:space="preserve">Extension A</w:t>
            </w:r>
          </w:p>
        </w:tc>
        <w:tc>
          <w:tcPr>
            <w:tcW w:type="dxa" w:w="8500"/>
            <w:shd w:fill="ffffff" w:val="clear"/>
            <w:tcMar>
              <w:top w:type="dxa" w:w="100"/>
              <w:left w:type="dxa" w:w="120"/>
              <w:bottom w:type="dxa" w:w="100"/>
              <w:right w:type="dxa" w:w="120"/>
            </w:tcMar>
          </w:tcPr>
          <w:p>
            <w:r>
              <w:rPr>
                <w:rFonts w:ascii="Calibri" w:cs="Calibri" w:eastAsia="Calibri" w:hAnsi="Calibri"/>
                <w:b w:val="false"/>
                <w:bCs w:val="false"/>
                <w:color w:val="0b0b0b"/>
                <w:sz w:val="20"/>
                <w:szCs w:val="20"/>
              </w:rPr>
              <w:t xml:space="preserve">Payload library grown to 14, a second indirect-injection scenario, and full attempt-level logging (including resisted attempts).</w:t>
            </w:r>
          </w:p>
        </w:tc>
      </w:tr>
      <w:tr>
        <w:tc>
          <w:tcPr>
            <w:tcW w:type="dxa" w:w="2200"/>
            <w:shd w:fill="f5f5f3" w:val="clear"/>
            <w:tcMar>
              <w:top w:type="dxa" w:w="100"/>
              <w:left w:type="dxa" w:w="120"/>
              <w:bottom w:type="dxa" w:w="100"/>
              <w:right w:type="dxa" w:w="120"/>
            </w:tcMar>
          </w:tcPr>
          <w:p>
            <w:r>
              <w:rPr>
                <w:rFonts w:ascii="Consolas" w:cs="Consolas" w:eastAsia="Consolas" w:hAnsi="Consolas"/>
                <w:b w:val="false"/>
                <w:bCs w:val="false"/>
                <w:color w:val="0b0b0b"/>
                <w:sz w:val="20"/>
                <w:szCs w:val="20"/>
              </w:rPr>
              <w:t xml:space="preserve">Extension B</w:t>
            </w:r>
          </w:p>
        </w:tc>
        <w:tc>
          <w:tcPr>
            <w:tcW w:type="dxa" w:w="8500"/>
            <w:shd w:fill="f5f5f3" w:val="clear"/>
            <w:tcMar>
              <w:top w:type="dxa" w:w="100"/>
              <w:left w:type="dxa" w:w="120"/>
              <w:bottom w:type="dxa" w:w="100"/>
              <w:right w:type="dxa" w:w="120"/>
            </w:tcMar>
          </w:tcPr>
          <w:p>
            <w:r>
              <w:rPr>
                <w:rFonts w:ascii="Calibri" w:cs="Calibri" w:eastAsia="Calibri" w:hAnsi="Calibri"/>
                <w:b w:val="false"/>
                <w:bCs w:val="false"/>
                <w:color w:val="0b0b0b"/>
                <w:sz w:val="20"/>
                <w:szCs w:val="20"/>
              </w:rPr>
              <w:t xml:space="preserve">Dashboard redesign: tabbed layout, card-style panels, and Plotly charts built on a validated, colorblind-safe palette.</w:t>
            </w:r>
          </w:p>
        </w:tc>
      </w:tr>
    </w:tbl>
    <w:p>
      <w:pPr>
        <w:spacing w:after="200"/>
      </w:pPr>
    </w:p>
    <w:p>
      <w:pPr>
        <w:spacing w:after="200" w:line="300"/>
      </w:pPr>
      <w:r>
        <w:rPr>
          <w:rFonts w:ascii="Calibri" w:cs="Calibri" w:eastAsia="Calibri" w:hAnsi="Calibri"/>
          <w:sz w:val="22"/>
          <w:szCs w:val="22"/>
        </w:rPr>
        <w:t xml:space="preserve">Every phase followed the same verification discipline: an automated pytest suite (currently 97 tests, all passing) covering both the attack/classification logic and the dashboard itself via Streamlit's AppTest harness, plus a live run in a headless browser with screenshots inspected before considering a phase done. Several real bugs were caught this way rather than by inspection alone — for example, an early tokenizer bug that let a single stray letter retrieve a confidential document, and a mailbox-filtering bug that made a second attack scenario's emails invisible to APEX's own detector.</w:t>
      </w:r>
    </w:p>
    <w:p>
      <w:pPr>
        <w:pStyle w:val="Heading1"/>
        <w:spacing w:after="160" w:before="360"/>
      </w:pPr>
      <w:r>
        <w:t xml:space="preserve">8. Known Limitations &amp; Scope Decisions</w:t>
      </w:r>
    </w:p>
    <w:p>
      <w:pPr>
        <w:spacing w:after="200" w:line="300"/>
      </w:pPr>
      <w:r>
        <w:rPr>
          <w:rFonts w:ascii="Calibri" w:cs="Calibri" w:eastAsia="Calibri" w:hAnsi="Calibri"/>
          <w:sz w:val="22"/>
          <w:szCs w:val="22"/>
        </w:rPr>
        <w:t xml:space="preserve">Every scope decision below was deliberate and disclosed, not an oversight. They are consolidated here from the project's docs/LIMITATIONS.md for a supervisor or reviewer evaluating the prototype against the full FYP vision.</w:t>
      </w:r>
    </w:p>
    <w:tbl>
      <w:tblPr>
        <w:tblW w:type="dxa" w:w="10700"/>
        <w:tblBorders>
          <w:top w:val="single" w:color="auto" w:sz="4"/>
          <w:left w:val="single" w:color="auto" w:sz="4"/>
          <w:bottom w:val="single" w:color="auto" w:sz="4"/>
          <w:right w:val="single" w:color="auto" w:sz="4"/>
          <w:insideH w:val="single" w:color="auto" w:sz="4"/>
          <w:insideV w:val="single" w:color="auto" w:sz="4"/>
        </w:tblBorders>
      </w:tblPr>
      <w:tblGrid>
        <w:gridCol w:w="2400"/>
        <w:gridCol w:w="8300"/>
      </w:tblGrid>
      <w:tr>
        <w:tc>
          <w:tcPr>
            <w:tcW w:type="dxa" w:w="2400"/>
            <w:shd w:fill="1a1a19" w:val="clear"/>
            <w:tcMar>
              <w:top w:type="dxa" w:w="100"/>
              <w:left w:type="dxa" w:w="120"/>
              <w:bottom w:type="dxa" w:w="100"/>
              <w:right w:type="dxa" w:w="120"/>
            </w:tcMar>
          </w:tcPr>
          <w:p>
            <w:r>
              <w:rPr>
                <w:rFonts w:ascii="Calibri" w:cs="Calibri" w:eastAsia="Calibri" w:hAnsi="Calibri"/>
                <w:b/>
                <w:bCs/>
                <w:color w:val="ffffff"/>
                <w:sz w:val="20"/>
                <w:szCs w:val="20"/>
              </w:rPr>
              <w:t xml:space="preserve">Area</w:t>
            </w:r>
          </w:p>
        </w:tc>
        <w:tc>
          <w:tcPr>
            <w:tcW w:type="dxa" w:w="8300"/>
            <w:shd w:fill="1a1a19" w:val="clear"/>
            <w:tcMar>
              <w:top w:type="dxa" w:w="100"/>
              <w:left w:type="dxa" w:w="120"/>
              <w:bottom w:type="dxa" w:w="100"/>
              <w:right w:type="dxa" w:w="120"/>
            </w:tcMar>
          </w:tcPr>
          <w:p>
            <w:r>
              <w:rPr>
                <w:rFonts w:ascii="Calibri" w:cs="Calibri" w:eastAsia="Calibri" w:hAnsi="Calibri"/>
                <w:b/>
                <w:bCs/>
                <w:color w:val="ffffff"/>
                <w:sz w:val="20"/>
                <w:szCs w:val="20"/>
              </w:rPr>
              <w:t xml:space="preserve">What's deferred and why</w:t>
            </w:r>
          </w:p>
        </w:tc>
      </w:tr>
      <w:tr>
        <w:tc>
          <w:tcPr>
            <w:tcW w:type="dxa" w:w="2400"/>
            <w:shd w:fill="ffffff" w:val="clear"/>
            <w:tcMar>
              <w:top w:type="dxa" w:w="100"/>
              <w:left w:type="dxa" w:w="120"/>
              <w:bottom w:type="dxa" w:w="100"/>
              <w:right w:type="dxa" w:w="120"/>
            </w:tcMar>
          </w:tcPr>
          <w:p>
            <w:r>
              <w:rPr>
                <w:rFonts w:ascii="Consolas" w:cs="Consolas" w:eastAsia="Consolas" w:hAnsi="Consolas"/>
                <w:b w:val="false"/>
                <w:bCs w:val="false"/>
                <w:color w:val="0b0b0b"/>
                <w:sz w:val="20"/>
                <w:szCs w:val="20"/>
              </w:rPr>
              <w:t xml:space="preserve">Scale of the FYP</w:t>
            </w:r>
          </w:p>
        </w:tc>
        <w:tc>
          <w:tcPr>
            <w:tcW w:type="dxa" w:w="8300"/>
            <w:shd w:fill="ffffff" w:val="clear"/>
            <w:tcMar>
              <w:top w:type="dxa" w:w="100"/>
              <w:left w:type="dxa" w:w="120"/>
              <w:bottom w:type="dxa" w:w="100"/>
              <w:right w:type="dxa" w:w="120"/>
            </w:tcMar>
          </w:tcPr>
          <w:p>
            <w:r>
              <w:rPr>
                <w:rFonts w:ascii="Calibri" w:cs="Calibri" w:eastAsia="Calibri" w:hAnsi="Calibri"/>
                <w:b w:val="false"/>
                <w:bCs w:val="false"/>
                <w:color w:val="0b0b0b"/>
                <w:sz w:val="20"/>
                <w:szCs w:val="20"/>
              </w:rPr>
              <w:t xml:space="preserve">This is a single-slice prototype (recon + 2 of 5 planned attack modules), not the full 7-month, 3-person system described in the FYP master document (LangGraph orchestration, ChromaDB, a fine-tuned BERT judge, 5 attack modules, 5 published benchmarks).</w:t>
            </w:r>
          </w:p>
        </w:tc>
      </w:tr>
      <w:tr>
        <w:tc>
          <w:tcPr>
            <w:tcW w:type="dxa" w:w="2400"/>
            <w:shd w:fill="f5f5f3" w:val="clear"/>
            <w:tcMar>
              <w:top w:type="dxa" w:w="100"/>
              <w:left w:type="dxa" w:w="120"/>
              <w:bottom w:type="dxa" w:w="100"/>
              <w:right w:type="dxa" w:w="120"/>
            </w:tcMar>
          </w:tcPr>
          <w:p>
            <w:r>
              <w:rPr>
                <w:rFonts w:ascii="Consolas" w:cs="Consolas" w:eastAsia="Consolas" w:hAnsi="Consolas"/>
                <w:b w:val="false"/>
                <w:bCs w:val="false"/>
                <w:color w:val="0b0b0b"/>
                <w:sz w:val="20"/>
                <w:szCs w:val="20"/>
              </w:rPr>
              <w:t xml:space="preserve">Classifier</w:t>
            </w:r>
          </w:p>
        </w:tc>
        <w:tc>
          <w:tcPr>
            <w:tcW w:type="dxa" w:w="8300"/>
            <w:shd w:fill="f5f5f3" w:val="clear"/>
            <w:tcMar>
              <w:top w:type="dxa" w:w="100"/>
              <w:left w:type="dxa" w:w="120"/>
              <w:bottom w:type="dxa" w:w="100"/>
              <w:right w:type="dxa" w:w="120"/>
            </w:tcMar>
          </w:tcPr>
          <w:p>
            <w:r>
              <w:rPr>
                <w:rFonts w:ascii="Calibri" w:cs="Calibri" w:eastAsia="Calibri" w:hAnsi="Calibri"/>
                <w:b w:val="false"/>
                <w:bCs w:val="false"/>
                <w:color w:val="0b0b0b"/>
                <w:sz w:val="20"/>
                <w:szCs w:val="20"/>
              </w:rPr>
              <w:t xml:space="preserve">Rule-based keyword/marker matching, not a learned judge — deterministic and explainable, but can miss a paraphrased leak. Kept behind one stable function signature so a BERT/LLM judge can be swapped in later.</w:t>
            </w:r>
          </w:p>
        </w:tc>
      </w:tr>
      <w:tr>
        <w:tc>
          <w:tcPr>
            <w:tcW w:type="dxa" w:w="2400"/>
            <w:shd w:fill="ffffff" w:val="clear"/>
            <w:tcMar>
              <w:top w:type="dxa" w:w="100"/>
              <w:left w:type="dxa" w:w="120"/>
              <w:bottom w:type="dxa" w:w="100"/>
              <w:right w:type="dxa" w:w="120"/>
            </w:tcMar>
          </w:tcPr>
          <w:p>
            <w:r>
              <w:rPr>
                <w:rFonts w:ascii="Consolas" w:cs="Consolas" w:eastAsia="Consolas" w:hAnsi="Consolas"/>
                <w:b w:val="false"/>
                <w:bCs w:val="false"/>
                <w:color w:val="0b0b0b"/>
                <w:sz w:val="20"/>
                <w:szCs w:val="20"/>
              </w:rPr>
              <w:t xml:space="preserve">VICTIM's vulnerability</w:t>
            </w:r>
          </w:p>
        </w:tc>
        <w:tc>
          <w:tcPr>
            <w:tcW w:type="dxa" w:w="8300"/>
            <w:shd w:fill="ffffff" w:val="clear"/>
            <w:tcMar>
              <w:top w:type="dxa" w:w="100"/>
              <w:left w:type="dxa" w:w="120"/>
              <w:bottom w:type="dxa" w:w="100"/>
              <w:right w:type="dxa" w:w="120"/>
            </w:tcMar>
          </w:tcPr>
          <w:p>
            <w:r>
              <w:rPr>
                <w:rFonts w:ascii="Calibri" w:cs="Calibri" w:eastAsia="Calibri" w:hAnsi="Calibri"/>
                <w:b w:val="false"/>
                <w:bCs w:val="false"/>
                <w:color w:val="0b0b0b"/>
                <w:sz w:val="20"/>
                <w:szCs w:val="20"/>
              </w:rPr>
              <w:t xml:space="preserve">Partly by construction — VICTIM is a simple keyword router with no document-sensitivity access control, by deliberate design, matching the FYP document's own description of an intentionally under-guarded target.</w:t>
            </w:r>
          </w:p>
        </w:tc>
      </w:tr>
      <w:tr>
        <w:tc>
          <w:tcPr>
            <w:tcW w:type="dxa" w:w="2400"/>
            <w:shd w:fill="f5f5f3" w:val="clear"/>
            <w:tcMar>
              <w:top w:type="dxa" w:w="100"/>
              <w:left w:type="dxa" w:w="120"/>
              <w:bottom w:type="dxa" w:w="100"/>
              <w:right w:type="dxa" w:w="120"/>
            </w:tcMar>
          </w:tcPr>
          <w:p>
            <w:r>
              <w:rPr>
                <w:rFonts w:ascii="Consolas" w:cs="Consolas" w:eastAsia="Consolas" w:hAnsi="Consolas"/>
                <w:b w:val="false"/>
                <w:bCs w:val="false"/>
                <w:color w:val="0b0b0b"/>
                <w:sz w:val="20"/>
                <w:szCs w:val="20"/>
              </w:rPr>
              <w:t xml:space="preserve">Orchestration</w:t>
            </w:r>
          </w:p>
        </w:tc>
        <w:tc>
          <w:tcPr>
            <w:tcW w:type="dxa" w:w="8300"/>
            <w:shd w:fill="f5f5f3" w:val="clear"/>
            <w:tcMar>
              <w:top w:type="dxa" w:w="100"/>
              <w:left w:type="dxa" w:w="120"/>
              <w:bottom w:type="dxa" w:w="100"/>
              <w:right w:type="dxa" w:w="120"/>
            </w:tcMar>
          </w:tcPr>
          <w:p>
            <w:r>
              <w:rPr>
                <w:rFonts w:ascii="Calibri" w:cs="Calibri" w:eastAsia="Calibri" w:hAnsi="Calibri"/>
                <w:b w:val="false"/>
                <w:bCs w:val="false"/>
                <w:color w:val="0b0b0b"/>
                <w:sz w:val="20"/>
                <w:szCs w:val="20"/>
              </w:rPr>
              <w:t xml:space="preserve">Fixed sequential order (recon, then direct, then indirect) with no adaptive strategy or multi-step exploit chaining.</w:t>
            </w:r>
          </w:p>
        </w:tc>
      </w:tr>
      <w:tr>
        <w:tc>
          <w:tcPr>
            <w:tcW w:type="dxa" w:w="2400"/>
            <w:shd w:fill="ffffff" w:val="clear"/>
            <w:tcMar>
              <w:top w:type="dxa" w:w="100"/>
              <w:left w:type="dxa" w:w="120"/>
              <w:bottom w:type="dxa" w:w="100"/>
              <w:right w:type="dxa" w:w="120"/>
            </w:tcMar>
          </w:tcPr>
          <w:p>
            <w:r>
              <w:rPr>
                <w:rFonts w:ascii="Consolas" w:cs="Consolas" w:eastAsia="Consolas" w:hAnsi="Consolas"/>
                <w:b w:val="false"/>
                <w:bCs w:val="false"/>
                <w:color w:val="0b0b0b"/>
                <w:sz w:val="20"/>
                <w:szCs w:val="20"/>
              </w:rPr>
              <w:t xml:space="preserve">Benchmark integration</w:t>
            </w:r>
          </w:p>
        </w:tc>
        <w:tc>
          <w:tcPr>
            <w:tcW w:type="dxa" w:w="8300"/>
            <w:shd w:fill="ffffff" w:val="clear"/>
            <w:tcMar>
              <w:top w:type="dxa" w:w="100"/>
              <w:left w:type="dxa" w:w="120"/>
              <w:bottom w:type="dxa" w:w="100"/>
              <w:right w:type="dxa" w:w="120"/>
            </w:tcMar>
          </w:tcPr>
          <w:p>
            <w:r>
              <w:rPr>
                <w:rFonts w:ascii="Calibri" w:cs="Calibri" w:eastAsia="Calibri" w:hAnsi="Calibri"/>
                <w:b w:val="false"/>
                <w:bCs w:val="false"/>
                <w:color w:val="0b0b0b"/>
                <w:sz w:val="20"/>
                <w:szCs w:val="20"/>
              </w:rPr>
              <w:t xml:space="preserve">None of AgentDojo / InjecAgent / JailbreakBench / BIPIA / HackAPrompt are wired up yet; the TargetConnector abstraction is the seam where that would attach.</w:t>
            </w:r>
          </w:p>
        </w:tc>
      </w:tr>
      <w:tr>
        <w:tc>
          <w:tcPr>
            <w:tcW w:type="dxa" w:w="2400"/>
            <w:shd w:fill="f5f5f3" w:val="clear"/>
            <w:tcMar>
              <w:top w:type="dxa" w:w="100"/>
              <w:left w:type="dxa" w:w="120"/>
              <w:bottom w:type="dxa" w:w="100"/>
              <w:right w:type="dxa" w:w="120"/>
            </w:tcMar>
          </w:tcPr>
          <w:p>
            <w:r>
              <w:rPr>
                <w:rFonts w:ascii="Consolas" w:cs="Consolas" w:eastAsia="Consolas" w:hAnsi="Consolas"/>
                <w:b w:val="false"/>
                <w:bCs w:val="false"/>
                <w:color w:val="0b0b0b"/>
                <w:sz w:val="20"/>
                <w:szCs w:val="20"/>
              </w:rPr>
              <w:t xml:space="preserve">Communication</w:t>
            </w:r>
          </w:p>
        </w:tc>
        <w:tc>
          <w:tcPr>
            <w:tcW w:type="dxa" w:w="8300"/>
            <w:shd w:fill="f5f5f3" w:val="clear"/>
            <w:tcMar>
              <w:top w:type="dxa" w:w="100"/>
              <w:left w:type="dxa" w:w="120"/>
              <w:bottom w:type="dxa" w:w="100"/>
              <w:right w:type="dxa" w:w="120"/>
            </w:tcMar>
          </w:tcPr>
          <w:p>
            <w:r>
              <w:rPr>
                <w:rFonts w:ascii="Calibri" w:cs="Calibri" w:eastAsia="Calibri" w:hAnsi="Calibri"/>
                <w:b w:val="false"/>
                <w:bCs w:val="false"/>
                <w:color w:val="0b0b0b"/>
                <w:sz w:val="20"/>
                <w:szCs w:val="20"/>
              </w:rPr>
              <w:t xml:space="preserve">In-process Python calls, not a real network API — bridged by TargetConnector so a future HTTPConnector needs no changes elsewhere.</w:t>
            </w:r>
          </w:p>
        </w:tc>
      </w:tr>
      <w:tr>
        <w:tc>
          <w:tcPr>
            <w:tcW w:type="dxa" w:w="2400"/>
            <w:shd w:fill="ffffff" w:val="clear"/>
            <w:tcMar>
              <w:top w:type="dxa" w:w="100"/>
              <w:left w:type="dxa" w:w="120"/>
              <w:bottom w:type="dxa" w:w="100"/>
              <w:right w:type="dxa" w:w="120"/>
            </w:tcMar>
          </w:tcPr>
          <w:p>
            <w:r>
              <w:rPr>
                <w:rFonts w:ascii="Consolas" w:cs="Consolas" w:eastAsia="Consolas" w:hAnsi="Consolas"/>
                <w:b w:val="false"/>
                <w:bCs w:val="false"/>
                <w:color w:val="0b0b0b"/>
                <w:sz w:val="20"/>
                <w:szCs w:val="20"/>
              </w:rPr>
              <w:t xml:space="preserve">Real-world safety</w:t>
            </w:r>
          </w:p>
        </w:tc>
        <w:tc>
          <w:tcPr>
            <w:tcW w:type="dxa" w:w="8300"/>
            <w:shd w:fill="ffffff" w:val="clear"/>
            <w:tcMar>
              <w:top w:type="dxa" w:w="100"/>
              <w:left w:type="dxa" w:w="120"/>
              <w:bottom w:type="dxa" w:w="100"/>
              <w:right w:type="dxa" w:w="120"/>
            </w:tcMar>
          </w:tcPr>
          <w:p>
            <w:r>
              <w:rPr>
                <w:rFonts w:ascii="Calibri" w:cs="Calibri" w:eastAsia="Calibri" w:hAnsi="Calibri"/>
                <w:b w:val="false"/>
                <w:bCs w:val="false"/>
                <w:color w:val="0b0b0b"/>
                <w:sz w:val="20"/>
                <w:szCs w:val="20"/>
              </w:rPr>
              <w:t xml:space="preserve">No real email, no real systems, no real data, ever, under any configuration — every address and document is fictional.</w:t>
            </w:r>
          </w:p>
        </w:tc>
      </w:tr>
    </w:tbl>
    <w:p>
      <w:pPr>
        <w:spacing w:after="200"/>
      </w:pPr>
    </w:p>
    <w:p>
      <w:pPr>
        <w:pStyle w:val="Heading1"/>
        <w:spacing w:after="160" w:before="360"/>
      </w:pPr>
      <w:r>
        <w:t xml:space="preserve">9. Testing &amp; Verification</w:t>
      </w:r>
    </w:p>
    <w:p>
      <w:pPr>
        <w:spacing w:after="200" w:line="300"/>
      </w:pPr>
      <w:r>
        <w:rPr>
          <w:rFonts w:ascii="Calibri" w:cs="Calibri" w:eastAsia="Calibri" w:hAnsi="Calibri"/>
          <w:sz w:val="22"/>
          <w:szCs w:val="22"/>
        </w:rPr>
        <w:t xml:space="preserve">The project maintains a single pytest suite across nine test files covering: import/schema smoke tests, VICTIM's standalone behavior, recon's capability inference, the direct- and indirect-injection modules against a real VICTIM instance (not mocks), the orchestrator's end-to-end aggregation, SQLite persistence round-trips, Markdown/HTML report generation, the dashboard via Streamlit's AppTest harness, and a dedicated robustness suite covering malformed input, path traversal, and SQL-special-character handling.</w:t>
      </w:r>
    </w:p>
    <w:p>
      <w:pPr>
        <w:spacing w:after="200" w:line="300"/>
      </w:pPr>
      <w:r>
        <w:rPr>
          <w:rFonts w:ascii="Calibri" w:cs="Calibri" w:eastAsia="Calibri" w:hAnsi="Calibri"/>
          <w:sz w:val="22"/>
          <w:szCs w:val="22"/>
        </w:rPr>
        <w:t xml:space="preserve">As of this document, the suite totals 97 tests, all passing. Dashboard changes are additionally verified by rendering the live application in a headless browser and inspecting screenshots — catching layout and interaction issues (such as clipped chart legends) that a pure assertion-based test would miss.</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lvl>
  </w:abstractNum>
  <w:abstractNum w:abstractNumId="3" w15:restartNumberingAfterBreak="0">
    <w:multiLevelType w:val="hybridMultilevel"/>
    <w:lvl w:ilvl="0" w15:tentative="1">
      <w:start w:val="1"/>
      <w:numFmt w:val="decimal"/>
      <w:lvlText w:val="%1."/>
      <w:lvlJc w:val="left"/>
      <w:pPr>
        <w:ind w:left="42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b0b0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pBdr>
        <w:bottom w:val="single" w:color="c3c2b7" w:sz="6" w:space="4"/>
      </w:pBdr>
      <w:spacing w:after="160" w:before="360"/>
    </w:pPr>
    <w:rPr>
      <w:rFonts w:ascii="Calibri" w:cs="Calibri" w:eastAsia="Calibri" w:hAnsi="Calibri"/>
      <w:b/>
      <w:bCs/>
      <w:color w:val="1a1a19"/>
      <w:sz w:val="32"/>
      <w:szCs w:val="32"/>
    </w:rPr>
  </w:style>
  <w:style w:type="paragraph" w:styleId="Heading2">
    <w:name w:val="Heading 2"/>
    <w:basedOn w:val="Normal"/>
    <w:next w:val="Normal"/>
    <w:qFormat/>
    <w:rPr>
      <w:rFonts w:ascii="Calibri" w:cs="Calibri" w:eastAsia="Calibri" w:hAnsi="Calibri"/>
      <w:b/>
      <w:bCs/>
      <w:color w:val="1a1a19"/>
      <w:sz w:val="26"/>
      <w:szCs w:val="26"/>
    </w:rPr>
  </w:style>
  <w:style w:type="paragraph" w:styleId="Heading3">
    <w:name w:val="Heading 3"/>
    <w:basedOn w:val="Normal"/>
    <w:next w:val="Normal"/>
    <w:qFormat/>
    <w:rPr>
      <w:rFonts w:ascii="Calibri" w:cs="Calibri" w:eastAsia="Calibri" w:hAnsi="Calibri"/>
      <w:b/>
      <w:bCs/>
      <w:color w:val="52514e"/>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2026-09-19T15:42:22.636Z</dcterms:created>
  <dcterms:modified xsi:type="dcterms:W3CDTF">2026-09-19T15:42:22.636Z</dcterms:modified>
</cp:coreProperties>
</file>

<file path=docProps/custom.xml><?xml version="1.0" encoding="utf-8"?>
<Properties xmlns="http://schemas.openxmlformats.org/officeDocument/2006/custom-properties" xmlns:vt="http://schemas.openxmlformats.org/officeDocument/2006/docPropsVTypes"/>
</file>