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Calibri" w:cs="Calibri" w:eastAsia="Calibri" w:hAnsi="Calibri"/>
          <w:b/>
          <w:bCs/>
          <w:color w:val="2a78d6"/>
          <w:sz w:val="72"/>
          <w:szCs w:val="72"/>
        </w:rPr>
        <w:t xml:space="preserve">APEX</w:t>
      </w:r>
    </w:p>
    <w:p>
      <w:pPr>
        <w:spacing w:after="60" w:before="120"/>
        <w:jc w:val="center"/>
      </w:pPr>
      <w:r>
        <w:rPr>
          <w:rFonts w:ascii="Calibri" w:cs="Calibri" w:eastAsia="Calibri" w:hAnsi="Calibri"/>
          <w:color w:val="52514e"/>
          <w:sz w:val="30"/>
          <w:szCs w:val="30"/>
        </w:rPr>
        <w:t xml:space="preserve">Agentic Penetration and Exploitation Framework</w:t>
      </w:r>
    </w:p>
    <w:p>
      <w:pPr>
        <w:spacing w:before="400"/>
        <w:jc w:val="center"/>
      </w:pPr>
      <w:r>
        <w:rPr>
          <w:rFonts w:ascii="Calibri" w:cs="Calibri" w:eastAsia="Calibri" w:hAnsi="Calibri"/>
          <w:b/>
          <w:bCs/>
          <w:sz w:val="36"/>
          <w:szCs w:val="36"/>
        </w:rPr>
        <w:t xml:space="preserve">Architecture, Build Process &amp; Technology Stack</w:t>
      </w:r>
    </w:p>
    <w:p>
      <w:pPr>
        <w:spacing w:before="200"/>
        <w:jc w:val="center"/>
      </w:pPr>
      <w:r>
        <w:rPr>
          <w:rFonts w:ascii="Calibri" w:cs="Calibri" w:eastAsia="Calibri" w:hAnsi="Calibri"/>
          <w:i/>
          <w:iCs/>
          <w:color w:val="52514e"/>
          <w:sz w:val="22"/>
          <w:szCs w:val="22"/>
        </w:rPr>
        <w:t xml:space="preserve">How this prototype was designed, what it's made of, and how it was built and verified</w:t>
      </w:r>
    </w:p>
    <w:p>
      <w:pPr>
        <w:spacing w:before="800"/>
        <w:jc w:val="center"/>
      </w:pPr>
      <w:r>
        <w:rPr>
          <w:rFonts w:ascii="Calibri" w:cs="Calibri" w:eastAsia="Calibri" w:hAnsi="Calibri"/>
          <w:color w:val="52514e"/>
          <w:sz w:val="20"/>
          <w:szCs w:val="20"/>
        </w:rPr>
        <w:t xml:space="preserve">Final Year Project — BS Cybersecurity</w:t>
      </w:r>
    </w:p>
    <w:p>
      <w:pPr>
        <w:spacing w:before="60"/>
        <w:jc w:val="center"/>
      </w:pPr>
      <w:r>
        <w:rPr>
          <w:rFonts w:ascii="Calibri" w:cs="Calibri" w:eastAsia="Calibri" w:hAnsi="Calibri"/>
          <w:color w:val="52514e"/>
          <w:sz w:val="20"/>
          <w:szCs w:val="20"/>
        </w:rPr>
        <w:t xml:space="preserve">Prototype build — September 2026</w:t>
      </w:r>
    </w:p>
    <w:p>
      <w:r>
        <w:br w:type="page"/>
      </w:r>
    </w:p>
    <w:p>
      <w:pPr>
        <w:pStyle w:val="Heading1"/>
        <w:spacing w:after="160" w:before="360"/>
      </w:pPr>
      <w:r>
        <w:t xml:space="preserve">1. Project Overview</w:t>
      </w:r>
    </w:p>
    <w:p>
      <w:pPr>
        <w:spacing w:after="200" w:line="300"/>
      </w:pPr>
      <w:r>
        <w:rPr>
          <w:rFonts w:ascii="Calibri" w:cs="Calibri" w:eastAsia="Calibri" w:hAnsi="Calibri"/>
          <w:sz w:val="22"/>
          <w:szCs w:val="22"/>
        </w:rPr>
        <w:t xml:space="preserve">APEX is a prototype demonstrating the core idea behind a larger Final Year Project: an autonomous red-teaming framework that tests LLM-based enterprise AI agents for prompt-injection vulnerabilities. The full FYP, described in APEX_FYP_Master_Document_v2.pdf, is a seven-month, three-person build involving LangGraph orchestration, a vector database, a fine-tuned classifier, five attack modules, integration with five published academic benchmarks, and a research-paper-scale dataset release.</w:t>
      </w:r>
    </w:p>
    <w:p>
      <w:pPr>
        <w:spacing w:after="200" w:line="300"/>
      </w:pPr>
      <w:r>
        <w:rPr>
          <w:rFonts w:ascii="Calibri" w:cs="Calibri" w:eastAsia="Calibri" w:hAnsi="Calibri"/>
          <w:sz w:val="22"/>
          <w:szCs w:val="22"/>
        </w:rPr>
        <w:t xml:space="preserve">This prototype implements one demoable slice of that vision, built free, fully local, and within an 8GB-RAM, no-GPU budget: black-box reconnaissance, two attack modules (direct and indirect prompt injection), a rule-based classification engine, a sequential (non-adaptive) attack loop, persisted history, downloadable reports, and a Streamlit dashboard. Its purpose is to prove the core attack loop works end to end, not to be a smaller version of every feature in the final system.</w:t>
      </w:r>
    </w:p>
    <w:p>
      <w:pPr>
        <w:pBdr>
          <w:left w:val="single" w:color="2a78d6" w:sz="24"/>
        </w:pBdr>
        <w:shd w:fill="eef4fc" w:val="clear"/>
        <w:spacing w:after="200" w:before="120"/>
        <w:ind w:left="200"/>
      </w:pPr>
      <w:r>
        <w:rPr>
          <w:rFonts w:ascii="Calibri" w:cs="Calibri" w:eastAsia="Calibri" w:hAnsi="Calibri"/>
          <w:b/>
          <w:bCs/>
          <w:color w:val="2a78d6"/>
          <w:sz w:val="22"/>
          <w:szCs w:val="22"/>
        </w:rPr>
        <w:t xml:space="preserve">Scope: </w:t>
      </w:r>
      <w:r>
        <w:rPr>
          <w:rFonts w:ascii="Calibri" w:cs="Calibri" w:eastAsia="Calibri" w:hAnsi="Calibri"/>
          <w:sz w:val="22"/>
          <w:szCs w:val="22"/>
        </w:rPr>
        <w:t xml:space="preserve">A self-built, intentionally under-guarded target agent called VICTIM stands in for a real enterprise assistant throughout. Nothing in this prototype connects to, tests, or affects any real third-party system.</w:t>
      </w:r>
    </w:p>
    <w:p>
      <w:pPr>
        <w:pStyle w:val="Heading1"/>
        <w:spacing w:after="160" w:before="360"/>
      </w:pPr>
      <w:r>
        <w:t xml:space="preserve">2. System Architecture</w:t>
      </w:r>
    </w:p>
    <w:p>
      <w:pPr>
        <w:spacing w:after="200" w:line="300"/>
      </w:pPr>
      <w:r>
        <w:rPr>
          <w:rFonts w:ascii="Calibri" w:cs="Calibri" w:eastAsia="Calibri" w:hAnsi="Calibri"/>
          <w:sz w:val="22"/>
          <w:szCs w:val="22"/>
        </w:rPr>
        <w:t xml:space="preserve">The system is split into two independent halves that only ever talk to each other through one narrow interface, which keeps the design honest about what is attacker code and what is target code.</w:t>
      </w:r>
    </w:p>
    <w:p>
      <w:pPr>
        <w:pStyle w:val="Heading2"/>
        <w:spacing w:after="120" w:before="280"/>
      </w:pPr>
      <w:r>
        <w:t xml:space="preserve">2.1 VICTIM — the target</w:t>
      </w:r>
    </w:p>
    <w:p>
      <w:pPr>
        <w:spacing w:after="200" w:line="300"/>
      </w:pPr>
      <w:r>
        <w:rPr>
          <w:rFonts w:ascii="Calibri" w:cs="Calibri" w:eastAsia="Calibri" w:hAnsi="Calibri"/>
          <w:sz w:val="22"/>
          <w:szCs w:val="22"/>
        </w:rPr>
        <w:t xml:space="preserve">VICTIM is a plain Python class exposing a single method, chat(message) -&gt; response. Internally it holds a system prompt, a small keyword-based knowledge retriever over a handful of mock company documents, a mock SQLite employee table, a mock email tool that only ever logs to a local table, and a mock file reader. Its logic is simple rule-based keyword routing, not an LLM reasoning loop — a deliberate choice that keeps the prototype's two demonstrated vulnerabilities (no document-sensitivity access control, and treating document-embedded instructions with the same authority as direct user requests) clear, reproducible, and easy to explain.</w:t>
      </w:r>
    </w:p>
    <w:p>
      <w:pPr>
        <w:pStyle w:val="Heading2"/>
        <w:spacing w:after="120" w:before="280"/>
      </w:pPr>
      <w:r>
        <w:t xml:space="preserve">2.2 APEX — the attacker</w:t>
      </w:r>
    </w:p>
    <w:p>
      <w:pPr>
        <w:spacing w:after="200" w:line="300"/>
      </w:pPr>
      <w:r>
        <w:rPr>
          <w:rFonts w:ascii="Calibri" w:cs="Calibri" w:eastAsia="Calibri" w:hAnsi="Calibri"/>
          <w:sz w:val="22"/>
          <w:szCs w:val="22"/>
        </w:rPr>
        <w:t xml:space="preserve">APEX is a set of Python modules that profile VICTIM, send it attack payloads and documents, classify what comes back, and turn the results into findings, persisted history, and reports. APEX never looks at VICTIM's source code or internal state to do this — every capability it discovers and every finding it raises comes from observing VICTIM's behavior from the outside, the same way a real red-teaming tool would have to treat a real remote target.</w:t>
      </w:r>
    </w:p>
    <w:p>
      <w:pPr>
        <w:pStyle w:val="Heading2"/>
        <w:spacing w:after="120" w:before="280"/>
      </w:pPr>
      <w:r>
        <w:t xml:space="preserve">2.3 The TargetConnector boundary</w:t>
      </w:r>
    </w:p>
    <w:p>
      <w:pPr>
        <w:spacing w:after="200" w:line="300"/>
      </w:pPr>
      <w:r>
        <w:rPr>
          <w:rFonts w:ascii="Calibri" w:cs="Calibri" w:eastAsia="Calibri" w:hAnsi="Calibri"/>
          <w:sz w:val="22"/>
          <w:szCs w:val="22"/>
        </w:rPr>
        <w:t xml:space="preserve">The one interface that matters architecturally is TargetConnector, an abstract class with profile() and send(payload) methods. This prototype ships exactly one implementation, LocalVictimConnector, which wraps an in-process VICTIM instance — a deliberate scope decision to avoid standing up a web server for a demo. Because every attack, classification, and reporting module only ever talks to a TargetConnector, a future HTTPConnector implementing the same interface could point APEX at a real remote agent's API with no changes anywhere else in the codebase.</w:t>
      </w:r>
    </w:p>
    <w:p>
      <w:pPr>
        <w:spacing w:after="200"/>
      </w:pPr>
    </w:p>
    <w:p>
      <w:pPr>
        <w:pStyle w:val="Heading1"/>
        <w:spacing w:after="160" w:before="360"/>
      </w:pPr>
      <w:r>
        <w:t xml:space="preserve">3. Technology Stack</w:t>
      </w:r>
    </w:p>
    <w:p>
      <w:pPr>
        <w:spacing w:after="200" w:line="300"/>
      </w:pPr>
      <w:r>
        <w:rPr>
          <w:rFonts w:ascii="Calibri" w:cs="Calibri" w:eastAsia="Calibri" w:hAnsi="Calibri"/>
          <w:sz w:val="22"/>
          <w:szCs w:val="22"/>
        </w:rPr>
        <w:t xml:space="preserve">Every choice below was made against one constraint: the whole system must run free, fully local, and comfortably on an ordinary 8GB-RAM laptop with no GPU.</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5400"/>
      </w:tblGrid>
      <w:tr>
        <w:tc>
          <w:tcPr>
            <w:tcW w:type="dxa" w:w="20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Layer</w:t>
            </w:r>
          </w:p>
        </w:tc>
        <w:tc>
          <w:tcPr>
            <w:tcW w:type="dxa" w:w="33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Technology</w:t>
            </w:r>
          </w:p>
        </w:tc>
        <w:tc>
          <w:tcPr>
            <w:tcW w:type="dxa" w:w="54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Why</w:t>
            </w:r>
          </w:p>
        </w:tc>
      </w:tr>
      <w:tr>
        <w:tc>
          <w:tcPr>
            <w:tcW w:type="dxa" w:w="2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Language</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Python 3.11</w:t>
            </w:r>
          </w:p>
        </w:tc>
        <w:tc>
          <w:tcPr>
            <w:tcW w:type="dxa" w:w="54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Fast to write, easy to test, no build step — matches the project's free/local scope.</w:t>
            </w:r>
          </w:p>
        </w:tc>
      </w:tr>
      <w:tr>
        <w:tc>
          <w:tcPr>
            <w:tcW w:type="dxa" w:w="2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Dashboard UI</w:t>
            </w:r>
          </w:p>
        </w:tc>
        <w:tc>
          <w:tcPr>
            <w:tcW w:type="dxa" w:w="3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Streamlit 1.6x</w:t>
            </w:r>
          </w:p>
        </w:tc>
        <w:tc>
          <w:tcPr>
            <w:tcW w:type="dxa" w:w="54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Turns a Python script into a browser UI with no HTML/JS/CSS to hand-write; well suited to a demo-focused prototype.</w:t>
            </w:r>
          </w:p>
        </w:tc>
      </w:tr>
      <w:tr>
        <w:tc>
          <w:tcPr>
            <w:tcW w:type="dxa" w:w="2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Charts</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Plotly (graph_objects)</w:t>
            </w:r>
          </w:p>
        </w:tc>
        <w:tc>
          <w:tcPr>
            <w:tcW w:type="dxa" w:w="54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Interactive, hoverable charts embeddable directly in Streamlit; used with a validated, colorblind-safe color palette rather than default colors.</w:t>
            </w:r>
          </w:p>
        </w:tc>
      </w:tr>
      <w:tr>
        <w:tc>
          <w:tcPr>
            <w:tcW w:type="dxa" w:w="2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Persistence</w:t>
            </w:r>
          </w:p>
        </w:tc>
        <w:tc>
          <w:tcPr>
            <w:tcW w:type="dxa" w:w="3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SQLite (stdlib sqlite3)</w:t>
            </w:r>
          </w:p>
        </w:tc>
        <w:tc>
          <w:tcPr>
            <w:tcW w:type="dxa" w:w="54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Zero-configuration, file-based, no server to install or run — appropriate for a single-user local prototype.</w:t>
            </w:r>
          </w:p>
        </w:tc>
      </w:tr>
      <w:tr>
        <w:tc>
          <w:tcPr>
            <w:tcW w:type="dxa" w:w="2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Testing</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pytest 8.x + Streamlit AppTest</w:t>
            </w:r>
          </w:p>
        </w:tc>
        <w:tc>
          <w:tcPr>
            <w:tcW w:type="dxa" w:w="54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Industry-standard Python testing; AppTest drives the dashboard itself in tests, without a real browser.</w:t>
            </w:r>
          </w:p>
        </w:tc>
      </w:tr>
      <w:tr>
        <w:tc>
          <w:tcPr>
            <w:tcW w:type="dxa" w:w="2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Report generation</w:t>
            </w:r>
          </w:p>
        </w:tc>
        <w:tc>
          <w:tcPr>
            <w:tcW w:type="dxa" w:w="3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Hand-written Markdown / HTML (stdlib only)</w:t>
            </w:r>
          </w:p>
        </w:tc>
        <w:tc>
          <w:tcPr>
            <w:tcW w:type="dxa" w:w="54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No PDF/reporting library dependency — output is two plain, portable, human-readable formats.</w:t>
            </w:r>
          </w:p>
        </w:tc>
      </w:tr>
      <w:tr>
        <w:tc>
          <w:tcPr>
            <w:tcW w:type="dxa" w:w="2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Optional LLM</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Ollama (1–2B local model) via requests, off by default</w:t>
            </w:r>
          </w:p>
        </w:tc>
        <w:tc>
          <w:tcPr>
            <w:tcW w:type="dxa" w:w="54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 real (not stubbed) HTTP-backed provider that composes VICTIM's knowledge-base answers when enabled; the whole prototype, including its test suite, runs and passes with it left off.</w:t>
            </w:r>
          </w:p>
        </w:tc>
      </w:tr>
    </w:tbl>
    <w:p>
      <w:pPr>
        <w:spacing w:after="200"/>
      </w:pPr>
    </w:p>
    <w:p>
      <w:pPr>
        <w:spacing w:after="200" w:line="300"/>
      </w:pPr>
      <w:r>
        <w:rPr>
          <w:rFonts w:ascii="Calibri" w:cs="Calibri" w:eastAsia="Calibri" w:hAnsi="Calibri"/>
          <w:sz w:val="22"/>
          <w:szCs w:val="22"/>
        </w:rPr>
        <w:t xml:space="preserve">Total runtime footprint — Streamlit, SQLite, and Python together — stays under roughly 500 MB of RAM. No API keys, cloud services, or paid subscriptions are required at any point. An optional local LLM path exists (Ollama running a 1–2B parameter model, e.g. llama3.2:1b at ~1.3 GB) behind a pluggable LLMProvider interface. Unlike an early design placeholder, this is now a real, working HTTP-backed integration rather than a stub — but it remains off by default, and every automated test in the project's suite runs, and must pass, with it disabled.</w:t>
      </w:r>
    </w:p>
    <w:p>
      <w:pPr>
        <w:pStyle w:val="Heading1"/>
        <w:spacing w:after="160" w:before="360"/>
      </w:pPr>
      <w:r>
        <w:t xml:space="preserve">4. Module Reference</w:t>
      </w:r>
    </w:p>
    <w:p>
      <w:pPr>
        <w:pStyle w:val="Heading2"/>
        <w:spacing w:after="120" w:before="280"/>
      </w:pPr>
      <w:r>
        <w:t xml:space="preserve">4.1 apex/ — the attacking system</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800"/>
        <w:gridCol w:w="7900"/>
      </w:tblGrid>
      <w:tr>
        <w:tc>
          <w:tcPr>
            <w:tcW w:type="dxa" w:w="28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Module</w:t>
            </w:r>
          </w:p>
        </w:tc>
        <w:tc>
          <w:tcPr>
            <w:tcW w:type="dxa" w:w="79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Responsibility</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apex/connector.py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Defines TargetConnector, the abstract interface APEX uses to talk to any target. Ships LocalVictimConnector (in-process calls to VICTIM); a future HTTPConnector could target a real remote agent through the same interface.</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apex/recon.py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Profiles a target as a black box: sends benign probe messages and infers capabilities (RAG, file reader, database tool, email tool) purely from response behavior — never inspects the target's code.</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apex/attacks/direct.py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Runs the 14-payload direct-injection library against the target and classifies each response.</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apex/attacks/indirect.py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Runs indirect-injection scenarios — asking the target to read a document containing a hidden instruction — and checks the simulated attacker inbox for exfiltrated data.</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apex/attacks/payloads.json</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The payload library itself: 14 payloads across 6 categories (instruction override, role manipulation, context framing, information disclosure, authority impersonation, encoding obfuscation).</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apex/classify.py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The rule-based judge: classify_response(payload, response) matches known confidential-content markers and returns SAFE / PARTIAL_SUCCESS / SUCCESS / ERROR with a human-readable reason.</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apex/attacker_mailbox.py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Reads the simulated attacker-controlled inbox (a local SQLite table) to detect whether an indirect-injection scenario succeeded in exfiltrating data.</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apex/orchestrator.py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Sequences recon → direct injection → indirect injection into one AssessmentResult, holding no attack logic of its own.</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apex/storage.py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Persists every AssessmentResult, its findings, and its full attempt log to SQLite; self-heals the schema on first use.</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apex/report.py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Renders an AssessmentResult (live or loaded from storage) into a standalone Markdown or HTML report.</w:t>
            </w:r>
          </w:p>
        </w:tc>
      </w:tr>
    </w:tbl>
    <w:p>
      <w:pPr>
        <w:spacing w:after="200"/>
      </w:pPr>
    </w:p>
    <w:p>
      <w:pPr>
        <w:pStyle w:val="Heading2"/>
        <w:spacing w:after="120" w:before="280"/>
      </w:pPr>
      <w:r>
        <w:t xml:space="preserve">4.2 victim/ — the simulated target</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800"/>
        <w:gridCol w:w="7900"/>
      </w:tblGrid>
      <w:tr>
        <w:tc>
          <w:tcPr>
            <w:tcW w:type="dxa" w:w="28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Module</w:t>
            </w:r>
          </w:p>
        </w:tc>
        <w:tc>
          <w:tcPr>
            <w:tcW w:type="dxa" w:w="79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Responsibility</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victim/agent.py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The Victim class (persona "Aria") — a rule-based keyword router, not an LLM, that decides which tool or knowledge lookup to use for a given message.</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victim/rag.py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SimpleRag — a small pure-Python keyword-overlap matcher over the company's mock documents. No embeddings, no vector database.</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victim/db.py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 mock SQLite employees table with parameterized queries.</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victim/email_tool.py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 mock email sender that only ever writes a row to a local sent_emails table — it never opens a network connection, under any configuration.</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victim/file_reader.py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Reads files from a fixed documents directory, rejecting path traversal and absolute-path escapes.</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victim/instruction_scanner.py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Detects hidden instructions embedded in documents (e.g. an HTML comment) so agent.py can decide whether to act on them.</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victim/documents/*.txt</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The mock knowledge base: company overview, employee policy, a confidential HR policy, an internal financial report, and two malicious documents used by the indirect-injection scenarios.</w:t>
            </w:r>
          </w:p>
        </w:tc>
      </w:tr>
    </w:tbl>
    <w:p>
      <w:pPr>
        <w:spacing w:after="200"/>
      </w:pPr>
    </w:p>
    <w:p>
      <w:pPr>
        <w:pStyle w:val="Heading2"/>
        <w:spacing w:after="120" w:before="280"/>
      </w:pPr>
      <w:r>
        <w:t xml:space="preserve">4.3 llm/ — the pluggable answer-generation layer</w:t>
      </w:r>
    </w:p>
    <w:p>
      <w:pPr>
        <w:spacing w:after="200" w:line="300"/>
      </w:pPr>
      <w:r>
        <w:rPr>
          <w:rFonts w:ascii="Calibri" w:cs="Calibri" w:eastAsia="Calibri" w:hAnsi="Calibri"/>
          <w:sz w:val="22"/>
          <w:szCs w:val="22"/>
        </w:rPr>
        <w:t xml:space="preserve">VICTIM's knowledge-base answers are generated through an LLMProvider interface rather than being hard-coded, so a rule-based path and a real model-backed path can share one call site (self.llm.answer_with_context(...)) in victim/agent.py without it needing to know which one is active.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800"/>
        <w:gridCol w:w="7900"/>
      </w:tblGrid>
      <w:tr>
        <w:tc>
          <w:tcPr>
            <w:tcW w:type="dxa" w:w="28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Module</w:t>
            </w:r>
          </w:p>
        </w:tc>
        <w:tc>
          <w:tcPr>
            <w:tcW w:type="dxa" w:w="79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Responsibility</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llm/provider.py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Defines LLMProvider, the abstract base every provider implements, plus its shared default methods (summarize(), answer_with_context()) so a rule-based and a model-backed provider expose an identical surface. get_provider() reads config.USE_OLLAMA and returns the right one, cached as a singleton.</w:t>
            </w:r>
          </w:p>
        </w:tc>
      </w:tr>
      <w:tr>
        <w:tc>
          <w:tcPr>
            <w:tcW w:type="dxa" w:w="2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llm/rule_based.py</w:t>
            </w:r>
          </w:p>
        </w:tc>
        <w:tc>
          <w:tcPr>
            <w:tcW w:type="dxa" w:w="7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RuleBasedProvider — the default. Reproduces the prototype's original, fully deterministic per-source-summary phrasing exactly. Zero network calls, zero extra cost.</w:t>
            </w:r>
          </w:p>
        </w:tc>
      </w:tr>
      <w:tr>
        <w:tc>
          <w:tcPr>
            <w:tcW w:type="dxa" w:w="2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llm/ollama_provider.py</w:t>
            </w:r>
          </w:p>
        </w:tc>
        <w:tc>
          <w:tcPr>
            <w:tcW w:type="dxa" w:w="7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LocalOllamaProvider — a real HTTP client for a local Ollama server (POST /api/generate). Raises OllamaUnavailableError on any connection failure, timeout, or unusable response, which victim/agent.py catches to fall back to RuleBasedProvider rather than crashing.</w:t>
            </w:r>
          </w:p>
        </w:tc>
      </w:tr>
    </w:tbl>
    <w:p>
      <w:pPr>
        <w:spacing w:after="200"/>
      </w:pPr>
    </w:p>
    <w:p>
      <w:pPr>
        <w:pStyle w:val="Heading2"/>
        <w:spacing w:after="120" w:before="280"/>
      </w:pPr>
      <w:r>
        <w:t xml:space="preserve">4.4 dashboard/app.py — the presentation layer</w:t>
      </w:r>
    </w:p>
    <w:p>
      <w:pPr>
        <w:spacing w:after="200" w:line="300"/>
      </w:pPr>
      <w:r>
        <w:rPr>
          <w:rFonts w:ascii="Calibri" w:cs="Calibri" w:eastAsia="Calibri" w:hAnsi="Calibri"/>
          <w:sz w:val="22"/>
          <w:szCs w:val="22"/>
        </w:rPr>
        <w:t xml:space="preserve">A thin Streamlit application that calls apex.orchestrator.run_assessment(), apex.storage, and apex.report, and renders what comes back. It contains no attack, classification, or persistence logic of its own — every piece of substantive logic lives in apex/, which keeps the dashboard replaceable (a future CLI, API, or different UI framework could sit on the exact same modules).</w:t>
      </w:r>
    </w:p>
    <w:p>
      <w:pPr>
        <w:spacing w:after="200" w:line="300"/>
      </w:pPr>
      <w:r>
        <w:rPr>
          <w:rFonts w:ascii="Calibri" w:cs="Calibri" w:eastAsia="Calibri" w:hAnsi="Calibri"/>
          <w:sz w:val="22"/>
          <w:szCs w:val="22"/>
        </w:rPr>
        <w:t xml:space="preserve">The dashboard is organized into five tabs — Overview, Findings, All Attempts, History, and Report — with every stat block and chart rendered inside a bordered card. Three chart types (a severity-mix bar, an attempt-outcome donut, and an attack-type split bar) appear on Overview, the same outcome donut repeats on All Attempts, and a two-line findings-versus-attempts trend chart appears on History once at least two assessments exist. Every chart is built with Plotly and colored from a validated, colorblind-safe palette: severity and attempt classification both draw from the same fixed status colors everywhere they appear (red for critical/successful-attack outcomes, orange and yellow for partial outcomes, green for resisted/safe outcomes), so color carries a single consistent meaning across the entire dashboard rather than each chart inventing its own scheme.</w:t>
      </w:r>
    </w:p>
    <w:p>
      <w:pPr>
        <w:pStyle w:val="Heading1"/>
        <w:spacing w:after="160" w:before="360"/>
      </w:pPr>
      <w:r>
        <w:t xml:space="preserve">5. Attack Methodology</w:t>
      </w:r>
    </w:p>
    <w:p>
      <w:pPr>
        <w:pStyle w:val="Heading2"/>
        <w:spacing w:after="120" w:before="280"/>
      </w:pPr>
      <w:r>
        <w:t xml:space="preserve">5.1 Direct prompt injection</w:t>
      </w:r>
    </w:p>
    <w:p>
      <w:pPr>
        <w:spacing w:after="200" w:line="300"/>
      </w:pPr>
      <w:r>
        <w:rPr>
          <w:rFonts w:ascii="Calibri" w:cs="Calibri" w:eastAsia="Calibri" w:hAnsi="Calibri"/>
          <w:sz w:val="22"/>
          <w:szCs w:val="22"/>
        </w:rPr>
        <w:t xml:space="preserve">apex/attacks/direct.py sends each entry in a 14-payload library straight to VICTIM as a chat message and classifies the response. The library spans six categories:</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gridCol w:w="1900"/>
      </w:tblGrid>
      <w:tr>
        <w:tc>
          <w:tcPr>
            <w:tcW w:type="dxa" w:w="30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Category</w:t>
            </w:r>
          </w:p>
        </w:tc>
        <w:tc>
          <w:tcPr>
            <w:tcW w:type="dxa" w:w="58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Idea</w:t>
            </w:r>
          </w:p>
        </w:tc>
        <w:tc>
          <w:tcPr>
            <w:tcW w:type="dxa" w:w="19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Payload count</w:t>
            </w:r>
          </w:p>
        </w:tc>
      </w:tr>
      <w:tr>
        <w:tc>
          <w:tcPr>
            <w:tcW w:type="dxa" w:w="3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Instruction override</w:t>
            </w:r>
          </w:p>
        </w:tc>
        <w:tc>
          <w:tcPr>
            <w:tcW w:type="dxa" w:w="58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Directly tells VICTIM to ignore its system prompt and reveal protected content.</w:t>
            </w:r>
          </w:p>
        </w:tc>
        <w:tc>
          <w:tcPr>
            <w:tcW w:type="dxa" w:w="1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2</w:t>
            </w:r>
          </w:p>
        </w:tc>
      </w:tr>
      <w:tr>
        <w:tc>
          <w:tcPr>
            <w:tcW w:type="dxa" w:w="3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Role manipulation</w:t>
            </w:r>
          </w:p>
        </w:tc>
        <w:tc>
          <w:tcPr>
            <w:tcW w:type="dxa" w:w="58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Tries to convince VICTIM it is a different, unrestricted persona.</w:t>
            </w:r>
          </w:p>
        </w:tc>
        <w:tc>
          <w:tcPr>
            <w:tcW w:type="dxa" w:w="1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2</w:t>
            </w:r>
          </w:p>
        </w:tc>
      </w:tr>
      <w:tr>
        <w:tc>
          <w:tcPr>
            <w:tcW w:type="dxa" w:w="3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Context / jailbreak framing</w:t>
            </w:r>
          </w:p>
        </w:tc>
        <w:tc>
          <w:tcPr>
            <w:tcW w:type="dxa" w:w="58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Wraps the request in a fictional frame (a screenplay, a hypothetical) to bypass VICTIM's judgment.</w:t>
            </w:r>
          </w:p>
        </w:tc>
        <w:tc>
          <w:tcPr>
            <w:tcW w:type="dxa" w:w="1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3</w:t>
            </w:r>
          </w:p>
        </w:tc>
      </w:tr>
      <w:tr>
        <w:tc>
          <w:tcPr>
            <w:tcW w:type="dxa" w:w="3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Information disclosure</w:t>
            </w:r>
          </w:p>
        </w:tc>
        <w:tc>
          <w:tcPr>
            <w:tcW w:type="dxa" w:w="58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Asks directly and plainly for confidential figures VICTIM shouldn't share.</w:t>
            </w:r>
          </w:p>
        </w:tc>
        <w:tc>
          <w:tcPr>
            <w:tcW w:type="dxa" w:w="1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3</w:t>
            </w:r>
          </w:p>
        </w:tc>
      </w:tr>
      <w:tr>
        <w:tc>
          <w:tcPr>
            <w:tcW w:type="dxa" w:w="30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Authority impersonation</w:t>
            </w:r>
          </w:p>
        </w:tc>
        <w:tc>
          <w:tcPr>
            <w:tcW w:type="dxa" w:w="58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Poses as an HR director, compliance auditor, or other authority figure who "needs" the data.</w:t>
            </w:r>
          </w:p>
        </w:tc>
        <w:tc>
          <w:tcPr>
            <w:tcW w:type="dxa" w:w="19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3</w:t>
            </w:r>
          </w:p>
        </w:tc>
      </w:tr>
      <w:tr>
        <w:tc>
          <w:tcPr>
            <w:tcW w:type="dxa" w:w="30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Encoding obfuscation</w:t>
            </w:r>
          </w:p>
        </w:tc>
        <w:tc>
          <w:tcPr>
            <w:tcW w:type="dxa" w:w="58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Hides the request inside base64 to see whether VICTIM decodes and follows it (it does not — VICTIM's router is keyword-based, not a decoder, so this one is deliberately resisted).</w:t>
            </w:r>
          </w:p>
        </w:tc>
        <w:tc>
          <w:tcPr>
            <w:tcW w:type="dxa" w:w="19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1</w:t>
            </w:r>
          </w:p>
        </w:tc>
      </w:tr>
    </w:tbl>
    <w:p>
      <w:pPr>
        <w:spacing w:after="200"/>
      </w:pPr>
    </w:p>
    <w:p>
      <w:pPr>
        <w:spacing w:after="200" w:line="300"/>
      </w:pPr>
      <w:r>
        <w:rPr>
          <w:rFonts w:ascii="Calibri" w:cs="Calibri" w:eastAsia="Calibri" w:hAnsi="Calibri"/>
          <w:sz w:val="22"/>
          <w:szCs w:val="22"/>
        </w:rPr>
        <w:t xml:space="preserve">Every payload's actual outcome was verified empirically — run against a real VICTIM instance and inspected — rather than assumed. One payload (system_prompt_leak) required two rewrites after an early draft accidentally scored a false-positive keyword match against an unrelated confidential document.</w:t>
      </w:r>
    </w:p>
    <w:p>
      <w:pPr>
        <w:pStyle w:val="Heading2"/>
        <w:spacing w:after="120" w:before="280"/>
      </w:pPr>
      <w:r>
        <w:t xml:space="preserve">5.2 Indirect prompt injection</w:t>
      </w:r>
    </w:p>
    <w:p>
      <w:pPr>
        <w:spacing w:after="200" w:line="300"/>
      </w:pPr>
      <w:r>
        <w:rPr>
          <w:rFonts w:ascii="Calibri" w:cs="Calibri" w:eastAsia="Calibri" w:hAnsi="Calibri"/>
          <w:sz w:val="22"/>
          <w:szCs w:val="22"/>
        </w:rPr>
        <w:t xml:space="preserve">apex/attacks/indirect.py demonstrates a more subtle and arguably more realistic attack: APEX sends VICTIM only a completely benign request ("please read this file for me") — no attack text ever crosses the wire directly. The document VICTIM is asked to read looks like an ordinary internal memo but contains a hidden instruction (concealed in an HTML comment) telling VICTIM to retrieve confidential data and email it to an external address. Two such scenarios exist: one targeting the HR compensation policy, one targeting the internal financial report, each with its own document and its own attacker-controlled exfiltration address.</w:t>
      </w:r>
    </w:p>
    <w:p>
      <w:pPr>
        <w:spacing w:after="200" w:line="300"/>
      </w:pPr>
      <w:r>
        <w:rPr>
          <w:rFonts w:ascii="Calibri" w:cs="Calibri" w:eastAsia="Calibri" w:hAnsi="Calibri"/>
          <w:sz w:val="22"/>
          <w:szCs w:val="22"/>
        </w:rPr>
        <w:t xml:space="preserve">Detection works by checking apex/attacker_mailbox.py, which reads the same local sent_emails table VICTIM's own mock email tool writes to — legitimate here only because APEX itself controls the exfiltration address embedded in the document; in a real engagement that inbox would genuinely belong to the attacker and be reached over the network.</w:t>
      </w:r>
    </w:p>
    <w:p>
      <w:pPr>
        <w:pStyle w:val="Heading2"/>
        <w:spacing w:after="120" w:before="280"/>
      </w:pPr>
      <w:r>
        <w:t xml:space="preserve">5.3 Classification</w:t>
      </w:r>
    </w:p>
    <w:p>
      <w:pPr>
        <w:spacing w:after="200" w:line="300"/>
      </w:pPr>
      <w:r>
        <w:rPr>
          <w:rFonts w:ascii="Calibri" w:cs="Calibri" w:eastAsia="Calibri" w:hAnsi="Calibri"/>
          <w:sz w:val="22"/>
          <w:szCs w:val="22"/>
        </w:rPr>
        <w:t xml:space="preserve">apex/classify.py implements classify_response(payload, response) -&gt; (Classification, reason), a deterministic function that checks a response against two sets of known confidential-content markers — strong markers (e.g. specific compensation figures, cash-reserve numbers) that indicate a full leak, and weak markers (e.g. the word “confidential” appearing alongside a refusal) that indicate a partial one. The result is one of SAFE, PARTIAL_SUCCESS, SUCCESS, or ERROR. This logic is intentionally simple and explainable, and is kept behind one stable function signature specifically so a future learned judge (a fine-tuned BERT model, or an LLM-as-judge) could replace it without any caller needing to change.</w:t>
      </w:r>
    </w:p>
    <w:p>
      <w:pPr>
        <w:pStyle w:val="Heading1"/>
        <w:spacing w:after="160" w:before="360"/>
      </w:pPr>
      <w:r>
        <w:t xml:space="preserve">6. Local LLM Integration (Ollama)</w:t>
      </w:r>
    </w:p>
    <w:p>
      <w:pPr>
        <w:spacing w:after="200" w:line="300"/>
      </w:pPr>
      <w:r>
        <w:rPr>
          <w:rFonts w:ascii="Calibri" w:cs="Calibri" w:eastAsia="Calibri" w:hAnsi="Calibri"/>
          <w:sz w:val="22"/>
          <w:szCs w:val="22"/>
        </w:rPr>
        <w:t xml:space="preserve">A post-roadmap extension added a real, working local-LLM path, replacing what had been a stub implementation. The goal was narrow and deliberately scoped: let one specific part of VICTIM's behavior — the wording of knowledge-base answers — be driven by an actual model's judgment instead of a keyword matcher, without touching anything else about how VICTIM or APEX work.</w:t>
      </w:r>
    </w:p>
    <w:p>
      <w:pPr>
        <w:pStyle w:val="Heading2"/>
        <w:spacing w:after="120" w:before="280"/>
      </w:pPr>
      <w:r>
        <w:t xml:space="preserve">6.1 The LLMProvider abstraction</w:t>
      </w:r>
    </w:p>
    <w:p>
      <w:pPr>
        <w:spacing w:after="200" w:line="300"/>
      </w:pPr>
      <w:r>
        <w:rPr>
          <w:rFonts w:ascii="Calibri" w:cs="Calibri" w:eastAsia="Calibri" w:hAnsi="Calibri"/>
          <w:sz w:val="22"/>
          <w:szCs w:val="22"/>
        </w:rPr>
        <w:t xml:space="preserve">llm/provider.py defines an abstract LLMProvider with one required method, generate(prompt) -&gt; str, plus two concrete default methods every provider inherits: summarize() and answer_with_context(system_prompt, sources, question). RuleBasedProvider (the default) never overrides these defaults, so its output is exactly the prototype's original deterministic phrasing. LocalOllamaProvider overrides answer_with_context() to build a real prompt — VICTIM's system prompt, the retrieved document content, and the user's question — and call generate() to let the model compose the actual answer.</w:t>
      </w:r>
    </w:p>
    <w:p>
      <w:pPr>
        <w:pStyle w:val="Heading2"/>
        <w:spacing w:after="120" w:before="280"/>
      </w:pPr>
      <w:r>
        <w:t xml:space="preserve">6.2 Wiring and failure handling</w:t>
      </w:r>
    </w:p>
    <w:p>
      <w:pPr>
        <w:spacing w:after="200" w:line="300"/>
      </w:pPr>
      <w:r>
        <w:rPr>
          <w:rFonts w:ascii="Calibri" w:cs="Calibri" w:eastAsia="Calibri" w:hAnsi="Calibri"/>
          <w:sz w:val="22"/>
          <w:szCs w:val="22"/>
        </w:rPr>
        <w:t xml:space="preserve">LocalOllamaProvider.generate() POSTs to a local Ollama server's /api/generate endpoint via the requests library, with a 60-second timeout (raised from an initial 30 seconds after live testing on real hardware showed a model's first, cold-loaded response can exceed 30 seconds even though subsequent responses are fast). Any connection failure, timeout, non-JSON response, or empty model output raises a dedicated OllamaUnavailableError rather than propagating a raw exception.</w:t>
      </w:r>
    </w:p>
    <w:p>
      <w:pPr>
        <w:spacing w:after="200" w:line="300"/>
      </w:pPr>
      <w:r>
        <w:rPr>
          <w:rFonts w:ascii="Calibri" w:cs="Calibri" w:eastAsia="Calibri" w:hAnsi="Calibri"/>
          <w:sz w:val="22"/>
          <w:szCs w:val="22"/>
        </w:rPr>
        <w:t xml:space="preserve">victim/agent.py's _handle_knowledge_query() catches OllamaUnavailableError specifically and falls back to RuleBasedProvider's phrasing, appended with one plain-language line naming the underlying error — so a demo can never be broken by a missing, unstarted, or still-loading local model. A separate short-circuit means the LLM is never called at all when retrieval finds no relevant document, keeping that specific response fully deterministic regardless of which provider is configured, and avoiding an unnecessary model call on an unrelated question.</w:t>
      </w:r>
    </w:p>
    <w:p>
      <w:pPr>
        <w:pStyle w:val="Heading2"/>
        <w:spacing w:after="120" w:before="280"/>
      </w:pPr>
      <w:r>
        <w:t xml:space="preserve">6.3 What is, and isn't, LLM-backed</w:t>
      </w:r>
    </w:p>
    <w:p>
      <w:pPr>
        <w:spacing w:after="200" w:line="300"/>
      </w:pPr>
      <w:r>
        <w:rPr>
          <w:rFonts w:ascii="Calibri" w:cs="Calibri" w:eastAsia="Calibri" w:hAnsi="Calibri"/>
          <w:sz w:val="22"/>
          <w:szCs w:val="22"/>
        </w:rPr>
        <w:t xml:space="preserve">Only the phrasing of knowledge-base answers is affected by this integration. Tool routing — deciding whether a message needs the knowledge base, the database, the email tool, or the file reader — remains rule-based keyword matching in every configuration, for determinism. Indirect-injection document handling (reading a file and acting on a hidden embedded instruction) is entirely unchanged. This scope boundary was a deliberate, discussed decision, not an oversight, and is disclosed in docs/LIMITATIONS.md.</w:t>
      </w:r>
    </w:p>
    <w:p>
      <w:pPr>
        <w:pStyle w:val="Heading2"/>
        <w:spacing w:after="120" w:before="280"/>
      </w:pPr>
      <w:r>
        <w:t xml:space="preserve">6.4 Verification</w:t>
      </w:r>
    </w:p>
    <w:p>
      <w:pPr>
        <w:spacing w:after="200" w:line="300"/>
      </w:pPr>
      <w:r>
        <w:rPr>
          <w:rFonts w:ascii="Calibri" w:cs="Calibri" w:eastAsia="Calibri" w:hAnsi="Calibri"/>
          <w:sz w:val="22"/>
          <w:szCs w:val="22"/>
        </w:rPr>
        <w:t xml:space="preserve">Because no Ollama binary is available in the development sandbox, verification happened in two layers. First, 15 unit tests mock every HTTP call (via monkeypatch), so the automated suite never depends on Ollama actually being installed — covering the success path, the exact request shape sent to the server, connection-error and empty-response failure modes, and VICTIM's fallback behavior end to end. Second, a genuine (non-mocked) HTTP round trip was verified against a minimal throwaway server mimicking Ollama's API contract, and separately against a real closed port to confirm the fallback path under an authentic — not simulated — failure.</w:t>
      </w:r>
    </w:p>
    <w:p>
      <w:pPr>
        <w:spacing w:after="200" w:line="300"/>
      </w:pPr>
      <w:r>
        <w:rPr>
          <w:rFonts w:ascii="Calibri" w:cs="Calibri" w:eastAsia="Calibri" w:hAnsi="Calibri"/>
          <w:sz w:val="22"/>
          <w:szCs w:val="22"/>
        </w:rPr>
        <w:t xml:space="preserve">The integration was then verified a third time against a real Ollama installation and a real pulled model (llama3.2:1b) on the target machine itself. The first live attempt, made immediately after the model finished downloading, hit the original 30-second timeout during the model's cold load — VICTIM's fail-soft fallback handled it correctly, returning a normal answer plus a one-line explanation instead of an error page, which was itself a real-world confirmation that the resilience design works under a genuine failure rather than only a simulated one. The timeout was then raised to 60 seconds as a permanent safety margin, and a follow-up run confirmed a fluent, model-composed answer distinct in phrasing from the rule-based fallback — the integration's actual live path, confirmed working end to end outside the development environment.</w:t>
      </w:r>
    </w:p>
    <w:p>
      <w:pPr>
        <w:pStyle w:val="Heading1"/>
        <w:spacing w:after="160" w:before="360"/>
      </w:pPr>
      <w:r>
        <w:t xml:space="preserve">7. Data Model &amp; Persistence</w:t>
      </w:r>
    </w:p>
    <w:p>
      <w:pPr>
        <w:spacing w:after="200" w:line="300"/>
      </w:pPr>
      <w:r>
        <w:rPr>
          <w:rFonts w:ascii="Calibri" w:cs="Calibri" w:eastAsia="Calibri" w:hAnsi="Calibri"/>
          <w:sz w:val="22"/>
          <w:szCs w:val="22"/>
        </w:rPr>
        <w:t xml:space="preserve">All state lives in a single local SQLite file (storage/apex.db), defined by storage/schema.sql and self-healing on every connection (missing tables are created automatically, so a fresh or corrupted database file never breaks the dashboard).</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4700"/>
      </w:tblGrid>
      <w:tr>
        <w:tc>
          <w:tcPr>
            <w:tcW w:type="dxa" w:w="18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Table</w:t>
            </w:r>
          </w:p>
        </w:tc>
        <w:tc>
          <w:tcPr>
            <w:tcW w:type="dxa" w:w="42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Purpose</w:t>
            </w:r>
          </w:p>
        </w:tc>
        <w:tc>
          <w:tcPr>
            <w:tcW w:type="dxa" w:w="47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Key columns</w:t>
            </w:r>
          </w:p>
        </w:tc>
      </w:tr>
      <w:tr>
        <w:tc>
          <w:tcPr>
            <w:tcW w:type="dxa" w:w="1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assessments</w:t>
            </w:r>
          </w:p>
        </w:tc>
        <w:tc>
          <w:tcPr>
            <w:tcW w:type="dxa" w:w="42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One row per assessment run.</w:t>
            </w:r>
          </w:p>
        </w:tc>
        <w:tc>
          <w:tcPr>
            <w:tcW w:type="dxa" w:w="47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target_name, started_at, finished_at, status, target_profile (JSON)</w:t>
            </w:r>
          </w:p>
        </w:tc>
      </w:tr>
      <w:tr>
        <w:tc>
          <w:tcPr>
            <w:tcW w:type="dxa" w:w="1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attacks</w:t>
            </w:r>
          </w:p>
        </w:tc>
        <w:tc>
          <w:tcPr>
            <w:tcW w:type="dxa" w:w="42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One row per attempt — every payload/scenario tried, including resisted ones.</w:t>
            </w:r>
          </w:p>
        </w:tc>
        <w:tc>
          <w:tcPr>
            <w:tcW w:type="dxa" w:w="47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assessment_id, attack_type, payload, response, classification, classified_why, timestamp</w:t>
            </w:r>
          </w:p>
        </w:tc>
      </w:tr>
      <w:tr>
        <w:tc>
          <w:tcPr>
            <w:tcW w:type="dxa" w:w="1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findings</w:t>
            </w:r>
          </w:p>
        </w:tc>
        <w:tc>
          <w:tcPr>
            <w:tcW w:type="dxa" w:w="42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One row per attempt that succeeded, fully or partially.</w:t>
            </w:r>
          </w:p>
        </w:tc>
        <w:tc>
          <w:tcPr>
            <w:tcW w:type="dxa" w:w="47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assessment_id, attack_id, title, severity, description, evidence, payload, recommendation</w:t>
            </w:r>
          </w:p>
        </w:tc>
      </w:tr>
      <w:tr>
        <w:tc>
          <w:tcPr>
            <w:tcW w:type="dxa" w:w="18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employees</w:t>
            </w:r>
          </w:p>
        </w:tc>
        <w:tc>
          <w:tcPr>
            <w:tcW w:type="dxa" w:w="42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VICTIM's own mock employee directory (used to demonstrate a database tool).</w:t>
            </w:r>
          </w:p>
        </w:tc>
        <w:tc>
          <w:tcPr>
            <w:tcW w:type="dxa" w:w="47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name, department, title, salary, email</w:t>
            </w:r>
          </w:p>
        </w:tc>
      </w:tr>
      <w:tr>
        <w:tc>
          <w:tcPr>
            <w:tcW w:type="dxa" w:w="18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sent_emails</w:t>
            </w:r>
          </w:p>
        </w:tc>
        <w:tc>
          <w:tcPr>
            <w:tcW w:type="dxa" w:w="42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VICTIM's own mock "sent mail" log — the only place an indirect-injection exfiltration can be observed.</w:t>
            </w:r>
          </w:p>
        </w:tc>
        <w:tc>
          <w:tcPr>
            <w:tcW w:type="dxa" w:w="47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recipient, subject, body, timestamp</w:t>
            </w:r>
          </w:p>
        </w:tc>
      </w:tr>
    </w:tbl>
    <w:p>
      <w:pPr>
        <w:spacing w:after="200"/>
      </w:pPr>
    </w:p>
    <w:p>
      <w:pPr>
        <w:spacing w:after="200" w:line="300"/>
      </w:pPr>
      <w:r>
        <w:rPr>
          <w:rFonts w:ascii="Calibri" w:cs="Calibri" w:eastAsia="Calibri" w:hAnsi="Calibri"/>
          <w:sz w:val="22"/>
          <w:szCs w:val="22"/>
        </w:rPr>
        <w:t xml:space="preserve">apex/storage.py exposes save_assessment(), list_assessments(), load_assessment(), and list_attempts() as the only way any other module touches the database, keeping persistence logic in one place.</w:t>
      </w:r>
    </w:p>
    <w:p>
      <w:pPr>
        <w:pStyle w:val="Heading1"/>
        <w:spacing w:after="160" w:before="360"/>
      </w:pPr>
      <w:r>
        <w:t xml:space="preserve">8. Build Methodology</w:t>
      </w:r>
    </w:p>
    <w:p>
      <w:pPr>
        <w:spacing w:after="200" w:line="300"/>
      </w:pPr>
      <w:r>
        <w:rPr>
          <w:rFonts w:ascii="Calibri" w:cs="Calibri" w:eastAsia="Calibri" w:hAnsi="Calibri"/>
          <w:sz w:val="22"/>
          <w:szCs w:val="22"/>
        </w:rPr>
        <w:t xml:space="preserve">The prototype was built as a strict, phase-by-phase roadmap: each phase was implemented, automatically tested, manually verified against a live run, and reported before moving on to the next — nothing progressed silently. Several extensions followed once the original ten-phase roadmap was complete.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200"/>
        <w:gridCol w:w="8500"/>
      </w:tblGrid>
      <w:tr>
        <w:tc>
          <w:tcPr>
            <w:tcW w:type="dxa" w:w="22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Phase</w:t>
            </w:r>
          </w:p>
        </w:tc>
        <w:tc>
          <w:tcPr>
            <w:tcW w:type="dxa" w:w="85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Delivered</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0</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Project scaffold, SQLite schema, config, smoke test.</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1</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VICTIM runnable standalone: system prompt, keyword RAG, mock DB, mock email/file tools.</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2</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APEX recon: black-box capability profiling via 7 benign probes.</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3</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Direct-injection payload library (8 payloads) + rule-based classifier + Finding model.</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4</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Indirect injection via a document with a hidden instruction + a simulated attacker mailbox.</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5</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Sequential orchestrator tying recon and both attack modules into one AssessmentResult.</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6</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Streamlit dashboard — the first version meant to actually be shown to a supervisor.</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7</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SQLite persistence for assessment history + Markdown/HTML report generator.</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8</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Robustness pass: self-healing schema, malformed-input handling, friendly dashboard error states.</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9</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Demo script, architecture diagram, consolidated limitations document, sample report.</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Extension A</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Payload library grown to 14, a second indirect-injection scenario, and full attempt-level logging (including resisted attempts).</w:t>
            </w:r>
          </w:p>
        </w:tc>
      </w:tr>
      <w:tr>
        <w:tc>
          <w:tcPr>
            <w:tcW w:type="dxa" w:w="22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Extension B</w:t>
            </w:r>
          </w:p>
        </w:tc>
        <w:tc>
          <w:tcPr>
            <w:tcW w:type="dxa" w:w="85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Dashboard redesign: tabbed layout, card-style panels, and Plotly charts built on a validated, colorblind-safe palette.</w:t>
            </w:r>
          </w:p>
        </w:tc>
      </w:tr>
      <w:tr>
        <w:tc>
          <w:tcPr>
            <w:tcW w:type="dxa" w:w="22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Extension C</w:t>
            </w:r>
          </w:p>
        </w:tc>
        <w:tc>
          <w:tcPr>
            <w:tcW w:type="dxa" w:w="85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Real local-LLM integration via Ollama: a working LocalOllamaProvider, VICTIM's knowledge-query answers made optionally model-backed, and fail-soft fallback — verified both in the sandbox and live against a real installed model.</w:t>
            </w:r>
          </w:p>
        </w:tc>
      </w:tr>
    </w:tbl>
    <w:p>
      <w:pPr>
        <w:spacing w:after="200"/>
      </w:pPr>
    </w:p>
    <w:p>
      <w:pPr>
        <w:spacing w:after="200" w:line="300"/>
      </w:pPr>
      <w:r>
        <w:rPr>
          <w:rFonts w:ascii="Calibri" w:cs="Calibri" w:eastAsia="Calibri" w:hAnsi="Calibri"/>
          <w:sz w:val="22"/>
          <w:szCs w:val="22"/>
        </w:rPr>
        <w:t xml:space="preserve">Every phase followed the same verification discipline: an automated pytest suite (currently 112 tests, all passing) covering both the attack/classification logic and the dashboard itself via Streamlit's AppTest harness, plus a live run in a headless browser with screenshots inspected before considering a phase done. Several real bugs were caught this way rather than by inspection alone — for example, an early tokenizer bug that let a single stray letter retrieve a confidential document, a mailbox-filtering bug that made a second attack scenario's emails invisible to APEX's own detector, and a cold-start timeout in the Ollama integration caught during live verification on real hardware rather than in the sandbox.</w:t>
      </w:r>
    </w:p>
    <w:p>
      <w:pPr>
        <w:pStyle w:val="Heading1"/>
        <w:spacing w:after="160" w:before="360"/>
      </w:pPr>
      <w:r>
        <w:t xml:space="preserve">9. Known Limitations &amp; Scope Decisions</w:t>
      </w:r>
    </w:p>
    <w:p>
      <w:pPr>
        <w:spacing w:after="200" w:line="300"/>
      </w:pPr>
      <w:r>
        <w:rPr>
          <w:rFonts w:ascii="Calibri" w:cs="Calibri" w:eastAsia="Calibri" w:hAnsi="Calibri"/>
          <w:sz w:val="22"/>
          <w:szCs w:val="22"/>
        </w:rPr>
        <w:t xml:space="preserve">Every scope decision below was deliberate and disclosed, not an oversight. They are consolidated here from the project's docs/LIMITATIONS.md for a supervisor or reviewer evaluating the prototype against the full FYP vision.</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400"/>
        <w:gridCol w:w="8300"/>
      </w:tblGrid>
      <w:tr>
        <w:tc>
          <w:tcPr>
            <w:tcW w:type="dxa" w:w="24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8300"/>
            <w:shd w:fill="1a1a19" w:val="clear"/>
            <w:tcMar>
              <w:top w:type="dxa" w:w="100"/>
              <w:left w:type="dxa" w:w="120"/>
              <w:bottom w:type="dxa" w:w="100"/>
              <w:right w:type="dxa" w:w="120"/>
            </w:tcMar>
          </w:tcPr>
          <w:p>
            <w:r>
              <w:rPr>
                <w:rFonts w:ascii="Calibri" w:cs="Calibri" w:eastAsia="Calibri" w:hAnsi="Calibri"/>
                <w:b/>
                <w:bCs/>
                <w:color w:val="ffffff"/>
                <w:sz w:val="20"/>
                <w:szCs w:val="20"/>
              </w:rPr>
              <w:t xml:space="preserve">What's deferred and why</w:t>
            </w:r>
          </w:p>
        </w:tc>
      </w:tr>
      <w:tr>
        <w:tc>
          <w:tcPr>
            <w:tcW w:type="dxa" w:w="24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Scale of the FYP</w:t>
            </w:r>
          </w:p>
        </w:tc>
        <w:tc>
          <w:tcPr>
            <w:tcW w:type="dxa" w:w="8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This is a single-slice prototype (recon + 2 of 5 planned attack modules), not the full 7-month, 3-person system described in the FYP master document (LangGraph orchestration, ChromaDB, a fine-tuned BERT judge, 5 attack modules, 5 published benchmarks).</w:t>
            </w:r>
          </w:p>
        </w:tc>
      </w:tr>
      <w:tr>
        <w:tc>
          <w:tcPr>
            <w:tcW w:type="dxa" w:w="24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Classifier</w:t>
            </w:r>
          </w:p>
        </w:tc>
        <w:tc>
          <w:tcPr>
            <w:tcW w:type="dxa" w:w="8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Rule-based keyword/marker matching, not a learned judge — deterministic and explainable, but can miss a paraphrased leak. Kept behind one stable function signature so a BERT/LLM judge can be swapped in later.</w:t>
            </w:r>
          </w:p>
        </w:tc>
      </w:tr>
      <w:tr>
        <w:tc>
          <w:tcPr>
            <w:tcW w:type="dxa" w:w="24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VICTIM's vulnerability</w:t>
            </w:r>
          </w:p>
        </w:tc>
        <w:tc>
          <w:tcPr>
            <w:tcW w:type="dxa" w:w="8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Partly by construction — VICTIM is a simple keyword router with no document-sensitivity access control, by deliberate design, matching the FYP document's own description of an intentionally under-guarded target.</w:t>
            </w:r>
          </w:p>
        </w:tc>
      </w:tr>
      <w:tr>
        <w:tc>
          <w:tcPr>
            <w:tcW w:type="dxa" w:w="24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Orchestration</w:t>
            </w:r>
          </w:p>
        </w:tc>
        <w:tc>
          <w:tcPr>
            <w:tcW w:type="dxa" w:w="8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Fixed sequential order (recon, then direct, then indirect) with no adaptive strategy or multi-step exploit chaining.</w:t>
            </w:r>
          </w:p>
        </w:tc>
      </w:tr>
      <w:tr>
        <w:tc>
          <w:tcPr>
            <w:tcW w:type="dxa" w:w="24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Benchmark integration</w:t>
            </w:r>
          </w:p>
        </w:tc>
        <w:tc>
          <w:tcPr>
            <w:tcW w:type="dxa" w:w="8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None of AgentDojo / InjecAgent / JailbreakBench / BIPIA / HackAPrompt are wired up yet; the TargetConnector abstraction is the seam where that would attach.</w:t>
            </w:r>
          </w:p>
        </w:tc>
      </w:tr>
      <w:tr>
        <w:tc>
          <w:tcPr>
            <w:tcW w:type="dxa" w:w="2400"/>
            <w:shd w:fill="f5f5f3"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Communication</w:t>
            </w:r>
          </w:p>
        </w:tc>
        <w:tc>
          <w:tcPr>
            <w:tcW w:type="dxa" w:w="8300"/>
            <w:shd w:fill="f5f5f3"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In-process Python calls, not a real network API — bridged by TargetConnector so a future HTTPConnector needs no changes elsewhere.</w:t>
            </w:r>
          </w:p>
        </w:tc>
      </w:tr>
      <w:tr>
        <w:tc>
          <w:tcPr>
            <w:tcW w:type="dxa" w:w="2400"/>
            <w:shd w:fill="ffffff" w:val="clear"/>
            <w:tcMar>
              <w:top w:type="dxa" w:w="100"/>
              <w:left w:type="dxa" w:w="120"/>
              <w:bottom w:type="dxa" w:w="100"/>
              <w:right w:type="dxa" w:w="120"/>
            </w:tcMar>
          </w:tcPr>
          <w:p>
            <w:r>
              <w:rPr>
                <w:rFonts w:ascii="Consolas" w:cs="Consolas" w:eastAsia="Consolas" w:hAnsi="Consolas"/>
                <w:b w:val="false"/>
                <w:bCs w:val="false"/>
                <w:color w:val="0b0b0b"/>
                <w:sz w:val="20"/>
                <w:szCs w:val="20"/>
              </w:rPr>
              <w:t xml:space="preserve">Real-world safety</w:t>
            </w:r>
          </w:p>
        </w:tc>
        <w:tc>
          <w:tcPr>
            <w:tcW w:type="dxa" w:w="8300"/>
            <w:shd w:fill="ffffff" w:val="clear"/>
            <w:tcMar>
              <w:top w:type="dxa" w:w="100"/>
              <w:left w:type="dxa" w:w="120"/>
              <w:bottom w:type="dxa" w:w="100"/>
              <w:right w:type="dxa" w:w="120"/>
            </w:tcMar>
          </w:tcPr>
          <w:p>
            <w:r>
              <w:rPr>
                <w:rFonts w:ascii="Calibri" w:cs="Calibri" w:eastAsia="Calibri" w:hAnsi="Calibri"/>
                <w:b w:val="false"/>
                <w:bCs w:val="false"/>
                <w:color w:val="0b0b0b"/>
                <w:sz w:val="20"/>
                <w:szCs w:val="20"/>
              </w:rPr>
              <w:t xml:space="preserve">No real email, no real systems, no real data, ever, under any configuration — every address and document is fictional.</w:t>
            </w:r>
          </w:p>
        </w:tc>
      </w:tr>
    </w:tbl>
    <w:p>
      <w:pPr>
        <w:spacing w:after="200"/>
      </w:pPr>
    </w:p>
    <w:p>
      <w:pPr>
        <w:pStyle w:val="Heading1"/>
        <w:spacing w:after="160" w:before="360"/>
      </w:pPr>
      <w:r>
        <w:t xml:space="preserve">10. Testing &amp; Verification</w:t>
      </w:r>
    </w:p>
    <w:p>
      <w:pPr>
        <w:spacing w:after="200" w:line="300"/>
      </w:pPr>
      <w:r>
        <w:rPr>
          <w:rFonts w:ascii="Calibri" w:cs="Calibri" w:eastAsia="Calibri" w:hAnsi="Calibri"/>
          <w:sz w:val="22"/>
          <w:szCs w:val="22"/>
        </w:rPr>
        <w:t xml:space="preserve">The project maintains a single pytest suite across ten test files covering: import/schema smoke tests, VICTIM's standalone behavior, recon's capability inference, the direct- and indirect-injection modules against a real VICTIM instance (not mocks), the orchestrator's end-to-end aggregation, SQLite persistence round-trips, Markdown/HTML report generation, the dashboard via Streamlit's AppTest harness, the LLM provider abstraction and Ollama integration (every HTTP call mocked, so the suite never depends on Ollama being installed), and a dedicated robustness suite covering malformed input, path traversal, and SQL-special-character handling.</w:t>
      </w:r>
    </w:p>
    <w:p>
      <w:pPr>
        <w:spacing w:after="200" w:line="300"/>
      </w:pPr>
      <w:r>
        <w:rPr>
          <w:rFonts w:ascii="Calibri" w:cs="Calibri" w:eastAsia="Calibri" w:hAnsi="Calibri"/>
          <w:sz w:val="22"/>
          <w:szCs w:val="22"/>
        </w:rPr>
        <w:t xml:space="preserve">As of this document, the suite totals 112 tests, all passing. Dashboard changes are additionally verified by rendering the live application in a headless browser and inspecting screenshots — catching layout and interaction issues (such as clipped chart legends) that a pure assertion-based test would miss. The Ollama integration was, additionally, verified live against a real installed model on the target machine itself, not only in the development sandbox — see Section 6.4.</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c3c2b7" w:sz="6" w:space="4"/>
      </w:pBdr>
      <w:spacing w:after="160" w:before="360"/>
    </w:pPr>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1a1a19"/>
      <w:sz w:val="26"/>
      <w:szCs w:val="26"/>
    </w:rPr>
  </w:style>
  <w:style w:type="paragraph" w:styleId="Heading3">
    <w:name w:val="Heading 3"/>
    <w:basedOn w:val="Normal"/>
    <w:next w:val="Normal"/>
    <w:qFormat/>
    <w:rPr>
      <w:rFonts w:ascii="Calibri" w:cs="Calibri" w:eastAsia="Calibri" w:hAnsi="Calibri"/>
      <w:b/>
      <w:bCs/>
      <w:color w:val="52514e"/>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2026-09-21T10:02:53.134Z</dcterms:created>
  <dcterms:modified xsi:type="dcterms:W3CDTF">2026-09-21T10:02:53.134Z</dcterms:modified>
</cp:coreProperties>
</file>

<file path=docProps/custom.xml><?xml version="1.0" encoding="utf-8"?>
<Properties xmlns="http://schemas.openxmlformats.org/officeDocument/2006/custom-properties" xmlns:vt="http://schemas.openxmlformats.org/officeDocument/2006/docPropsVTypes"/>
</file>