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2"/>
          <w:szCs w:val="32"/>
        </w:rPr>
        <w:t xml:space="preserve">Hegemonic Drift and Counter-Hegemony: D-Trajectory Analysis of Disobedience Freedom Dynamics Across 30 Governance Systems</w:t>
      </w:r>
    </w:p>
    <w:p>
      <w:pPr>
        <w:spacing w:after="80" w:before="0"/>
        <w:jc w:val="center"/>
      </w:pPr>
      <w:r>
        <w:rPr>
          <w:rFonts w:ascii="Times New Roman" w:cs="Times New Roman" w:eastAsia="Times New Roman" w:hAnsi="Times New Roman"/>
          <w:i/>
          <w:iCs/>
          <w:sz w:val="24"/>
          <w:szCs w:val="24"/>
        </w:rPr>
        <w:t xml:space="preserve">[Author — blinded for review]</w:t>
      </w:r>
    </w:p>
    <w:p>
      <w:pPr>
        <w:spacing w:after="80" w:before="0"/>
        <w:jc w:val="center"/>
      </w:pPr>
      <w:r>
        <w:rPr>
          <w:rFonts w:ascii="Times New Roman" w:cs="Times New Roman" w:eastAsia="Times New Roman" w:hAnsi="Times New Roman"/>
          <w:i/>
          <w:iCs/>
          <w:sz w:val="22"/>
          <w:szCs w:val="22"/>
        </w:rPr>
        <w:t xml:space="preserve">[Affiliation — blinded for review]</w:t>
      </w:r>
    </w:p>
    <w:p>
      <w:pPr>
        <w:spacing w:after="320" w:before="0"/>
        <w:jc w:val="center"/>
      </w:pPr>
      <w:r>
        <w:rPr>
          <w:rFonts w:ascii="Times New Roman" w:cs="Times New Roman" w:eastAsia="Times New Roman" w:hAnsi="Times New Roman"/>
          <w:i/>
          <w:iCs/>
          <w:sz w:val="22"/>
          <w:szCs w:val="22"/>
        </w:rPr>
        <w:t xml:space="preserve">[Correspondence — blinded for review]</w:t>
      </w:r>
    </w:p>
    <w:p>
      <w:pPr>
        <w:spacing w:after="120" w:before="0"/>
      </w:pPr>
      <w:r>
        <w:rPr>
          <w:rFonts w:ascii="Times New Roman" w:cs="Times New Roman" w:eastAsia="Times New Roman" w:hAnsi="Times New Roman"/>
          <w:b/>
          <w:bCs/>
          <w:sz w:val="26"/>
          <w:szCs w:val="26"/>
        </w:rPr>
        <w:t xml:space="preserve">Abstract</w:t>
      </w:r>
    </w:p>
    <w:p>
      <w:pPr>
        <w:spacing w:after="160" w:before="0" w:line="264" w:lineRule="auto"/>
        <w:ind w:left="720" w:right="720"/>
        <w:jc w:val="both"/>
      </w:pPr>
      <w:r>
        <w:rPr>
          <w:rFonts w:ascii="Times New Roman" w:cs="Times New Roman" w:eastAsia="Times New Roman" w:hAnsi="Times New Roman"/>
          <w:sz w:val="24"/>
          <w:szCs w:val="24"/>
        </w:rPr>
        <w:t xml:space="preserve">This paper disaggregates the suppression of disobedience freedom (D) across 30 governance systems spanning 2,600 years, identifying four empirically distinct mechanisms through which D declines or recovers: hegemonic drift (normalisation via educational or ideological hegemony), coercive maintenance (suppression through high sovereignty-index S), counter-hegemony (rising D at low S), and joint administrative collapse. Using time-stamped D-trajectory data from the isonomia governance dataset (401 systems), supplemented by matched A-trajectories (administrative capacity) for nine systems (79 intervals), we report three converging findings. First, systems exhibiting hegemonic drift begin with significantly higher D than coercively maintained systems (Mann-Whitney U=52.5, p=0.0135; hegemonic mean D₀=0.500, SD=0.185, n=7; coercive mean D₀=0.300, SD=0.097, n=9), consistent with the Gramscian claim that hegemony operates from prior freedom. Second, within-system increases in administrative capacity (A) are significantly associated with D decline, measured as rate-normalised Pearson correlations r(ΔA,ΔD) (pooled Spearman r=−0.326, p=0.003, n=79; two systems show significant lag-1 temporal ordering: Meiji Oligarchy r=−0.816, p=0.025; Abbasid Caliphate r=−0.865, p=0.006). Third, all three rising-D systems have S≤0.20, while 20 of 27 non-rising systems exceed S=0.45 (Fisher exact p=0.030), supporting a structural sovereignty constraint on counter-hegemony. Four case studies (Roman Republic passive revolution, Abbasid hegemonic inertia, Tokugawa Foucauldian panopticon, Soviet coercion-to-consent arc) and a fifth mechanism type (Ottoman joint administrative collapse) illustrate the typology. The sign of r(ΔA,ΔD) is proposed as a non-circular empirical test distinguishing hegemonic from coercive suppression. Findings extend the lock-in sequence framework (Author 2026a) by showing that D-suppression is mechanistically heterogeneous and that D₀ is a necessary but not sufficient condition for the counter-hegemonic pathway.</w:t>
      </w:r>
    </w:p>
    <w:p>
      <w:pPr>
        <w:spacing w:after="320" w:before="120"/>
        <w:ind w:left="720" w:right="720"/>
      </w:pPr>
      <w:r>
        <w:rPr>
          <w:rFonts w:ascii="Times New Roman" w:cs="Times New Roman" w:eastAsia="Times New Roman" w:hAnsi="Times New Roman"/>
          <w:sz w:val="24"/>
          <w:szCs w:val="24"/>
        </w:rPr>
        <w:t xml:space="preserve">Keywords: hegemonic drift, disobedience freedom, governance dynamics, Gramsci, Foucault, administrative capacity, lock-in sequence, comparative historical analysis</w:t>
      </w:r>
    </w:p>
    <w:p>
      <w:pPr>
        <w:pStyle w:val="Heading1"/>
        <w:spacing w:after="160" w:before="360"/>
      </w:pPr>
      <w:r>
        <w:rPr>
          <w:rFonts w:ascii="Times New Roman" w:cs="Times New Roman" w:eastAsia="Times New Roman" w:hAnsi="Times New Roman"/>
          <w:b/>
          <w:bCs/>
          <w:sz w:val="28"/>
          <w:szCs w:val="28"/>
        </w:rPr>
        <w:t xml:space="preserve">1. Introduction</w:t>
      </w:r>
    </w:p>
    <w:p>
      <w:pPr>
        <w:spacing w:after="160" w:before="0" w:line="276" w:lineRule="auto"/>
        <w:jc w:val="both"/>
      </w:pPr>
      <w:r>
        <w:rPr>
          <w:rFonts w:ascii="Times New Roman" w:cs="Times New Roman" w:eastAsia="Times New Roman" w:hAnsi="Times New Roman"/>
          <w:sz w:val="24"/>
          <w:szCs w:val="24"/>
        </w:rPr>
        <w:t xml:space="preserve">The suppression of political disobedience — the freedom to refuse, protest, and dissent without immediate severe sanction — is among the most consequential transformations a governance system can undergo. Prior work in the isonomia series has documented the lock-in sequence (L→I→A→E↓D↓R↓), a reproducible pathway in which resource accumulation and administrative expansion successively erode exit freedom, disobedience freedom, and replacement freedom, producing a self-reinforcing autocratic attractor (Author 2026a, 2026b). Within that framework, D suppression has been treated as a unified phenomenon — the downstream consequence of rising surplus legibility (L) and administrative capacity (A). This paper argues that this treatment conflates mechanistically distinct processes that differ in their temporal dynamics, empirical signatures, and reversibility conditions.</w:t>
      </w:r>
    </w:p>
    <w:p>
      <w:pPr>
        <w:spacing w:after="160" w:before="0" w:line="276" w:lineRule="auto"/>
        <w:jc w:val="both"/>
      </w:pPr>
      <w:r>
        <w:rPr>
          <w:rFonts w:ascii="Times New Roman" w:cs="Times New Roman" w:eastAsia="Times New Roman" w:hAnsi="Times New Roman"/>
          <w:sz w:val="24"/>
          <w:szCs w:val="24"/>
        </w:rPr>
        <w:t xml:space="preserve">Antonio Gramsci's concept of hegemony distinguishes two mechanisms of D suppression. The first is direct coercive suppression: compliance is enforced through force, surveillance, and the credible threat of punishment. The second is hegemonic drift: compliance is achieved because the governed internalise the worldview of the governing class, rendering organised opposition not merely dangerous but culturally or intellectually unavailable (Gramsci 1971). In mature hegemony, Gramsci argues, coercive capacity becomes largely superfluous — consent has been rendered structural. Michel Foucault's analysis of disciplinary normalisation extends this argument by identifying a third mode in which compliance is produced not through persuasion but through the organisation of space, time, and surveillance such that self-policing becomes automatic (Foucault 1977). Gregory Bateson's schismogenesis framework (1935, 1972), operationalised in a companion paper (Author 2026c), adds dynamic amplification: each step of normalisation reduces the population capable of challenging the hegemonic order, making further normalisation easier.</w:t>
      </w:r>
    </w:p>
    <w:p>
      <w:pPr>
        <w:spacing w:after="160" w:before="0" w:line="276" w:lineRule="auto"/>
        <w:jc w:val="both"/>
      </w:pPr>
      <w:r>
        <w:rPr>
          <w:rFonts w:ascii="Times New Roman" w:cs="Times New Roman" w:eastAsia="Times New Roman" w:hAnsi="Times New Roman"/>
          <w:sz w:val="24"/>
          <w:szCs w:val="24"/>
        </w:rPr>
        <w:t xml:space="preserve">These theoretical distinctions generate testable empirical predictions. Coercive suppression should operate on already-suppressed populations: systems that deploy high coercive capacity (S) to keep D low from the outset. Hegemonic drift should operate on populations with prior freedom: systems that begin with relatively high D and progressively normalise compliance downward. Counter-hegemony — the construction of subordinate-class cultural institutions sufficient to challenge dominant norms (Gramsci 1971) — should be structurally constrained by sovereignty capacity: building the institutional infrastructure of dissent requires political space the state cannot simply eliminate. And the administrative vehicle of normalisation should leave a temporal trace: A expansion should predict D decline, possibly with a lag, as educational and bureaucratic apparatus precedes the compliance it normalises.</w:t>
      </w:r>
    </w:p>
    <w:p>
      <w:pPr>
        <w:spacing w:after="160" w:before="0" w:line="276" w:lineRule="auto"/>
        <w:jc w:val="both"/>
      </w:pPr>
      <w:r>
        <w:rPr>
          <w:rFonts w:ascii="Times New Roman" w:cs="Times New Roman" w:eastAsia="Times New Roman" w:hAnsi="Times New Roman"/>
          <w:sz w:val="24"/>
          <w:szCs w:val="24"/>
        </w:rPr>
        <w:t xml:space="preserve">This paper tests these predictions using the D-trajectory subsample of the isonomia governance dataset: 30 systems with sufficient historiographic evidence to track D change across multiple time points, spanning 2,600 years from Classical Athens to the Norwegian welfare state. For nine of these systems, matched A-trajectories are available, enabling within-system correlation analysis. We test three formal hypotheses:</w:t>
      </w:r>
    </w:p>
    <w:p>
      <w:pPr>
        <w:spacing w:after="160" w:before="0" w:line="276" w:lineRule="auto"/>
        <w:jc w:val="both"/>
      </w:pPr>
      <w:r>
        <w:rPr>
          <w:rFonts w:ascii="Times New Roman" w:cs="Times New Roman" w:eastAsia="Times New Roman" w:hAnsi="Times New Roman"/>
          <w:b/>
          <w:bCs/>
          <w:sz w:val="24"/>
          <w:szCs w:val="24"/>
        </w:rPr>
        <w:t xml:space="preserve">H1. </w:t>
      </w:r>
      <w:r>
        <w:rPr>
          <w:rFonts w:ascii="Times New Roman" w:cs="Times New Roman" w:eastAsia="Times New Roman" w:hAnsi="Times New Roman"/>
          <w:sz w:val="24"/>
          <w:szCs w:val="24"/>
        </w:rPr>
        <w:t xml:space="preserve">Systems undergoing hegemonic drift begin with significantly higher D (D-start) than systems undergoing coercive maintenance.</w:t>
      </w:r>
    </w:p>
    <w:p>
      <w:pPr>
        <w:spacing w:after="160" w:before="0" w:line="276" w:lineRule="auto"/>
        <w:jc w:val="both"/>
      </w:pPr>
      <w:r>
        <w:rPr>
          <w:rFonts w:ascii="Times New Roman" w:cs="Times New Roman" w:eastAsia="Times New Roman" w:hAnsi="Times New Roman"/>
          <w:b/>
          <w:bCs/>
          <w:sz w:val="24"/>
          <w:szCs w:val="24"/>
        </w:rPr>
        <w:t xml:space="preserve">H2. </w:t>
      </w:r>
      <w:r>
        <w:rPr>
          <w:rFonts w:ascii="Times New Roman" w:cs="Times New Roman" w:eastAsia="Times New Roman" w:hAnsi="Times New Roman"/>
          <w:sz w:val="24"/>
          <w:szCs w:val="24"/>
        </w:rPr>
        <w:t xml:space="preserve">Within systems, rate-normalised increases in A predict contemporaneous or lagged decreases in D, consistent with the administrative vehicle of normalisation.</w:t>
      </w:r>
    </w:p>
    <w:p>
      <w:pPr>
        <w:spacing w:after="160" w:before="0" w:line="276" w:lineRule="auto"/>
        <w:jc w:val="both"/>
      </w:pPr>
      <w:r>
        <w:rPr>
          <w:rFonts w:ascii="Times New Roman" w:cs="Times New Roman" w:eastAsia="Times New Roman" w:hAnsi="Times New Roman"/>
          <w:b/>
          <w:bCs/>
          <w:sz w:val="24"/>
          <w:szCs w:val="24"/>
        </w:rPr>
        <w:t xml:space="preserve">H3. </w:t>
      </w:r>
      <w:r>
        <w:rPr>
          <w:rFonts w:ascii="Times New Roman" w:cs="Times New Roman" w:eastAsia="Times New Roman" w:hAnsi="Times New Roman"/>
          <w:sz w:val="24"/>
          <w:szCs w:val="24"/>
        </w:rPr>
        <w:t xml:space="preserve">Counter-hegemonic D recovery is structurally constrained by sovereignty capacity: rising-D systems require S≤0.45, because institutionalising disobedience is only possible when the state cannot unilaterally suppress the organisations that reproduce it.</w:t>
      </w:r>
    </w:p>
    <w:p>
      <w:pPr>
        <w:spacing w:after="160" w:before="0" w:line="276" w:lineRule="auto"/>
        <w:jc w:val="both"/>
      </w:pPr>
      <w:r>
        <w:rPr>
          <w:rFonts w:ascii="Times New Roman" w:cs="Times New Roman" w:eastAsia="Times New Roman" w:hAnsi="Times New Roman"/>
          <w:sz w:val="24"/>
          <w:szCs w:val="24"/>
        </w:rPr>
        <w:t xml:space="preserve">We report a typology of six trajectory types, three primary statistical findings, and five illustrative case studies. We also propose the sign of r(ΔA,ΔD) — positive for counter-hegemony, negative for hegemonic suppression — as a practical, non-circular mechanism classifier applicable wherever matched A and D time series exist.</w:t>
      </w:r>
    </w:p>
    <w:p>
      <w:pPr>
        <w:pStyle w:val="Heading1"/>
        <w:spacing w:after="160" w:before="360"/>
      </w:pPr>
      <w:r>
        <w:rPr>
          <w:rFonts w:ascii="Times New Roman" w:cs="Times New Roman" w:eastAsia="Times New Roman" w:hAnsi="Times New Roman"/>
          <w:b/>
          <w:bCs/>
          <w:sz w:val="28"/>
          <w:szCs w:val="28"/>
        </w:rPr>
        <w:t xml:space="preserve">2. The D-Trajectory Framework</w:t>
      </w:r>
    </w:p>
    <w:p>
      <w:pPr>
        <w:pStyle w:val="Heading2"/>
        <w:spacing w:after="120" w:before="240"/>
      </w:pPr>
      <w:r>
        <w:rPr>
          <w:rFonts w:ascii="Times New Roman" w:cs="Times New Roman" w:eastAsia="Times New Roman" w:hAnsi="Times New Roman"/>
          <w:b/>
          <w:bCs/>
          <w:sz w:val="26"/>
          <w:szCs w:val="26"/>
        </w:rPr>
        <w:t xml:space="preserve">2.1 The isonomia governance metrics</w:t>
      </w:r>
    </w:p>
    <w:p>
      <w:pPr>
        <w:spacing w:after="160" w:before="0" w:line="276" w:lineRule="auto"/>
        <w:jc w:val="both"/>
      </w:pPr>
      <w:r>
        <w:rPr>
          <w:rFonts w:ascii="Times New Roman" w:cs="Times New Roman" w:eastAsia="Times New Roman" w:hAnsi="Times New Roman"/>
          <w:sz w:val="24"/>
          <w:szCs w:val="24"/>
        </w:rPr>
        <w:t xml:space="preserve">The isonomia dataset codes 401 governance systems across six primary dimensions: sovereignty index (S, 0–1), administrative capacity (A, 0–1), political competition (P, 0–1), exit freedom (E, 0–1), disobedience freedom (D, 0–1), and replacement freedom (R, 0–1). Coding procedures and cross-validation against six external datasets — V-Dem (r=0.868–0.912), Polity5 (r=0.847), WJP (r=0.904), Freedom in the World (r=0.923), CCP (r=0.681), and Seshat (r=0.604–0.774) — are reported in Author (2026d). D is defined as the degree to which subjects are practically free to refuse compliance with governance directives without immediate severe sanction; it captures the space for non-compliance and organised opposition below the threshold of formal political contest.</w:t>
      </w:r>
    </w:p>
    <w:p>
      <w:pPr>
        <w:spacing w:after="160" w:before="0" w:line="276" w:lineRule="auto"/>
        <w:jc w:val="both"/>
      </w:pPr>
      <w:r>
        <w:rPr>
          <w:rFonts w:ascii="Times New Roman" w:cs="Times New Roman" w:eastAsia="Times New Roman" w:hAnsi="Times New Roman"/>
          <w:sz w:val="24"/>
          <w:szCs w:val="24"/>
        </w:rPr>
        <w:t xml:space="preserve">The full dataset assigns single time-slice values. The D-trajectory subsample adds temporal resolution: for 30 systems selected on the basis of sufficient historiographic evidence, D is coded at multiple time points, enabling computation of total D change (ΔD), rate of change, and trajectory shape. The number of time points per system ranges from four (sufficient for rate-normalised Pearson analysis) to fourteen (Soviet Republics System, French Third Republic). Nine of the 30 systems have matched A-trajectories, enabling within-system ΔA/ΔD analysis across 79 intervals.</w:t>
      </w:r>
    </w:p>
    <w:p>
      <w:pPr>
        <w:pStyle w:val="Heading2"/>
        <w:spacing w:after="120" w:before="240"/>
      </w:pPr>
      <w:r>
        <w:rPr>
          <w:rFonts w:ascii="Times New Roman" w:cs="Times New Roman" w:eastAsia="Times New Roman" w:hAnsi="Times New Roman"/>
          <w:b/>
          <w:bCs/>
          <w:sz w:val="26"/>
          <w:szCs w:val="26"/>
        </w:rPr>
        <w:t xml:space="preserve">2.2 The hegemony index and trajectory classification</w:t>
      </w:r>
    </w:p>
    <w:p>
      <w:pPr>
        <w:spacing w:after="160" w:before="0" w:line="276" w:lineRule="auto"/>
        <w:jc w:val="both"/>
      </w:pPr>
      <w:r>
        <w:rPr>
          <w:rFonts w:ascii="Times New Roman" w:cs="Times New Roman" w:eastAsia="Times New Roman" w:hAnsi="Times New Roman"/>
          <w:sz w:val="24"/>
          <w:szCs w:val="24"/>
        </w:rPr>
        <w:t xml:space="preserve">For each system, we compute a hegemony index HI = |ΔD| / S. This ratio captures the central theoretical contrast: hegemonic drift produces large D decline relative to moderate S (high HI), while coercive maintenance produces smaller D decline relative to high S (low HI), since suppression is maintained by force rather than achieved by normalisation. The trajectory type is determined by the classify_trajectory() function in hegemonic_drift.py (v3): systems are classified as </w:t>
      </w:r>
      <w:r>
        <w:rPr>
          <w:rFonts w:ascii="Times New Roman" w:cs="Times New Roman" w:eastAsia="Times New Roman" w:hAnsi="Times New Roman"/>
          <w:i/>
          <w:iCs/>
          <w:sz w:val="24"/>
          <w:szCs w:val="24"/>
        </w:rPr>
        <w:t xml:space="preserve">falling_hegemonic</w:t>
      </w:r>
      <w:r>
        <w:rPr>
          <w:rFonts w:ascii="Times New Roman" w:cs="Times New Roman" w:eastAsia="Times New Roman" w:hAnsi="Times New Roman"/>
          <w:sz w:val="24"/>
          <w:szCs w:val="24"/>
        </w:rPr>
        <w:t xml:space="preserve"> when S≤0.55 and A≥0.55 and ΔD&lt;−0.08; as </w:t>
      </w:r>
      <w:r>
        <w:rPr>
          <w:rFonts w:ascii="Times New Roman" w:cs="Times New Roman" w:eastAsia="Times New Roman" w:hAnsi="Times New Roman"/>
          <w:i/>
          <w:iCs/>
          <w:sz w:val="24"/>
          <w:szCs w:val="24"/>
        </w:rPr>
        <w:t xml:space="preserve">falling_coercive</w:t>
      </w:r>
      <w:r>
        <w:rPr>
          <w:rFonts w:ascii="Times New Roman" w:cs="Times New Roman" w:eastAsia="Times New Roman" w:hAnsi="Times New Roman"/>
          <w:sz w:val="24"/>
          <w:szCs w:val="24"/>
        </w:rPr>
        <w:t xml:space="preserve"> when S&gt;0.65 and ΔD&lt;−0.08; as </w:t>
      </w:r>
      <w:r>
        <w:rPr>
          <w:rFonts w:ascii="Times New Roman" w:cs="Times New Roman" w:eastAsia="Times New Roman" w:hAnsi="Times New Roman"/>
          <w:i/>
          <w:iCs/>
          <w:sz w:val="24"/>
          <w:szCs w:val="24"/>
        </w:rPr>
        <w:t xml:space="preserve">rising</w:t>
      </w:r>
      <w:r>
        <w:rPr>
          <w:rFonts w:ascii="Times New Roman" w:cs="Times New Roman" w:eastAsia="Times New Roman" w:hAnsi="Times New Roman"/>
          <w:sz w:val="24"/>
          <w:szCs w:val="24"/>
        </w:rPr>
        <w:t xml:space="preserve"> when ΔD&gt;0.08; as </w:t>
      </w:r>
      <w:r>
        <w:rPr>
          <w:rFonts w:ascii="Times New Roman" w:cs="Times New Roman" w:eastAsia="Times New Roman" w:hAnsi="Times New Roman"/>
          <w:i/>
          <w:iCs/>
          <w:sz w:val="24"/>
          <w:szCs w:val="24"/>
        </w:rPr>
        <w:t xml:space="preserve">stable_low</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stable_high</w:t>
      </w:r>
      <w:r>
        <w:rPr>
          <w:rFonts w:ascii="Times New Roman" w:cs="Times New Roman" w:eastAsia="Times New Roman" w:hAnsi="Times New Roman"/>
          <w:sz w:val="24"/>
          <w:szCs w:val="24"/>
        </w:rPr>
        <w:t xml:space="preserve"> when |ΔD|&lt;0.08; and as </w:t>
      </w:r>
      <w:r>
        <w:rPr>
          <w:rFonts w:ascii="Times New Roman" w:cs="Times New Roman" w:eastAsia="Times New Roman" w:hAnsi="Times New Roman"/>
          <w:i/>
          <w:iCs/>
          <w:sz w:val="24"/>
          <w:szCs w:val="24"/>
        </w:rPr>
        <w:t xml:space="preserve">oscillating</w:t>
      </w:r>
      <w:r>
        <w:rPr>
          <w:rFonts w:ascii="Times New Roman" w:cs="Times New Roman" w:eastAsia="Times New Roman" w:hAnsi="Times New Roman"/>
          <w:sz w:val="24"/>
          <w:szCs w:val="24"/>
        </w:rPr>
        <w:t xml:space="preserve"> when two or more directional reversals occur. Systems meeting the U-shaped criterion (ΔDₐₐₐₐ≥0.15, recovery≥0.10) or oscillating criterion take precedence over the initial falling classification.</w:t>
      </w:r>
    </w:p>
    <w:p>
      <w:pPr>
        <w:spacing w:after="160" w:before="0" w:line="276" w:lineRule="auto"/>
        <w:jc w:val="both"/>
      </w:pPr>
      <w:r>
        <w:rPr>
          <w:rFonts w:ascii="Times New Roman" w:cs="Times New Roman" w:eastAsia="Times New Roman" w:hAnsi="Times New Roman"/>
          <w:sz w:val="24"/>
          <w:szCs w:val="24"/>
        </w:rPr>
        <w:t xml:space="preserve">One outlier requires explicit treatment. The Icelandic Commonwealth (HI=3.18) has the highest hegemony index in the dataset despite S=0.10 — the lowest coercive capacity of any system. Its high HI does not reflect internal hegemonic drift but external absorption: Norwegian sovereignty was imposed through the Gamli sáttmali (Old Covenant, 1262–1264 CE), terminating a genuinely stateless governance system. Iceland exemplifies a fifth trajectory type — external conquest — that the HI formula misclassifies because a near-zero denominator inflates the ratio regardless of mechanism. It is retained as a comparative reference but excluded from mechanism-specific analyses.</w:t>
      </w:r>
    </w:p>
    <w:p>
      <w:pPr>
        <w:pStyle w:val="Heading2"/>
        <w:spacing w:after="120" w:before="240"/>
      </w:pPr>
      <w:r>
        <w:rPr>
          <w:rFonts w:ascii="Times New Roman" w:cs="Times New Roman" w:eastAsia="Times New Roman" w:hAnsi="Times New Roman"/>
          <w:b/>
          <w:bCs/>
          <w:sz w:val="26"/>
          <w:szCs w:val="26"/>
        </w:rPr>
        <w:t xml:space="preserve">2.3 Within-system mechanism test: methodology</w:t>
      </w:r>
    </w:p>
    <w:p>
      <w:pPr>
        <w:spacing w:after="160" w:before="0" w:line="276" w:lineRule="auto"/>
        <w:jc w:val="both"/>
      </w:pPr>
      <w:r>
        <w:rPr>
          <w:rFonts w:ascii="Times New Roman" w:cs="Times New Roman" w:eastAsia="Times New Roman" w:hAnsi="Times New Roman"/>
          <w:sz w:val="24"/>
          <w:szCs w:val="24"/>
        </w:rPr>
        <w:t xml:space="preserve">The within-system correlation r(ΔA,ΔD) is computed using rate-normalised first differences: ΔA/Δt and ΔD/Δt (both multiplied by 100 to express as per-century rates), where Δt is the interval between consecutive time points in years. Rate normalisation is necessary because the time points in the trajectory data are unequally spaced across systems and within systems; unnormalised first differences would confound large absolute changes driven simply by long intervals. Pearson correlation is then computed on these rate series. The pooled aggregate uses Spearman rank correlation across all 79 intervals from nine systems to handle the non-normal distribution of the pooled sample. Lag-1 analysis (A rate in period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predicting D rate in period </w:t>
      </w:r>
      <w:r>
        <w:rPr>
          <w:rFonts w:ascii="Times New Roman" w:cs="Times New Roman" w:eastAsia="Times New Roman" w:hAnsi="Times New Roman"/>
          <w:i/>
          <w:iCs/>
          <w:sz w:val="24"/>
          <w:szCs w:val="24"/>
        </w:rPr>
        <w:t xml:space="preserve">t+1</w:t>
      </w:r>
      <w:r>
        <w:rPr>
          <w:rFonts w:ascii="Times New Roman" w:cs="Times New Roman" w:eastAsia="Times New Roman" w:hAnsi="Times New Roman"/>
          <w:sz w:val="24"/>
          <w:szCs w:val="24"/>
        </w:rPr>
        <w:t xml:space="preserve">) is computed using Pearson r where n≥4 intervals.</w:t>
      </w:r>
    </w:p>
    <w:p>
      <w:pPr>
        <w:spacing w:after="160" w:before="0" w:line="276" w:lineRule="auto"/>
        <w:jc w:val="both"/>
      </w:pPr>
      <w:r>
        <w:rPr>
          <w:rFonts w:ascii="Times New Roman" w:cs="Times New Roman" w:eastAsia="Times New Roman" w:hAnsi="Times New Roman"/>
          <w:sz w:val="24"/>
          <w:szCs w:val="24"/>
        </w:rPr>
        <w:t xml:space="preserve">The sign of r(ΔA,ΔD) is the proposed mechanism classifier. In the hegemonic mechanism, A expansion vehicles D decline (A rises, D falls: r&lt;0). In the counter-hegemonic mechanism, A expansion and D expansion co-occur — welfare bureaucracies, civil society infrastructure, and state administrative capacity grow alongside civic disobedience freedoms (r&gt;0). In the joint collapse mechanism (Ottoman type), both A and D decline together in the final phase of imperial overextension, also producing r≈0 or positive in the final intervals. This classifier is non-circular: it uses neither the trajectory-type grouping variable nor the D-start outcome that drives the primary H1 test.</w:t>
      </w:r>
    </w:p>
    <w:p>
      <w:pPr>
        <w:pStyle w:val="Heading2"/>
        <w:spacing w:after="120" w:before="240"/>
      </w:pPr>
      <w:r>
        <w:rPr>
          <w:rFonts w:ascii="Times New Roman" w:cs="Times New Roman" w:eastAsia="Times New Roman" w:hAnsi="Times New Roman"/>
          <w:b/>
          <w:bCs/>
          <w:sz w:val="26"/>
          <w:szCs w:val="26"/>
        </w:rPr>
        <w:t xml:space="preserve">2.4 Circularity acknowledgement</w:t>
      </w:r>
    </w:p>
    <w:p>
      <w:pPr>
        <w:spacing w:after="160" w:before="0" w:line="276" w:lineRule="auto"/>
        <w:jc w:val="both"/>
      </w:pPr>
      <w:r>
        <w:rPr>
          <w:rFonts w:ascii="Times New Roman" w:cs="Times New Roman" w:eastAsia="Times New Roman" w:hAnsi="Times New Roman"/>
          <w:sz w:val="24"/>
          <w:szCs w:val="24"/>
        </w:rPr>
        <w:t xml:space="preserve">Three circularity concerns are acknowledged and handled explicitly throughout. First, the correlation r(D-start, S)=−0.806 among falling systems (p&lt;0.0001) means that the trajectory-type grouping (hegemonic vs. coercive) co-varies with S, which itself co-varies with D-start. The H1 test is therefore not fully independent of the structural S-D relationship. We address this by grounding the trajectory-type classification in mechanism evidence (historiographic notes, administrative-capacity codings, and the hegemonic_mechanism field) beyond the S threshold alone, and by reporting the circularity statistic prominently. Second, ΔD appears in both the HI formula and the D-start vs. ΔD correlation; these are presented as separate descriptive and inferential claims. Third, the small n for several individual-system analyses (Habsburg n=4 intervals, Ottoman n=3 intervals) precludes individual-level inference; conclusions rest on the pooled estimates and on systems with n≥7.</w:t>
      </w:r>
    </w:p>
    <w:p>
      <w:pPr>
        <w:pStyle w:val="Heading1"/>
        <w:spacing w:after="160" w:before="360"/>
      </w:pPr>
      <w:r>
        <w:rPr>
          <w:rFonts w:ascii="Times New Roman" w:cs="Times New Roman" w:eastAsia="Times New Roman" w:hAnsi="Times New Roman"/>
          <w:b/>
          <w:bCs/>
          <w:sz w:val="28"/>
          <w:szCs w:val="28"/>
        </w:rPr>
        <w:t xml:space="preserve">3. Results I: Trajectory Typology and Primary Finding</w:t>
      </w:r>
    </w:p>
    <w:p>
      <w:pPr>
        <w:pStyle w:val="Heading2"/>
        <w:spacing w:after="120" w:before="240"/>
      </w:pPr>
      <w:r>
        <w:rPr>
          <w:rFonts w:ascii="Times New Roman" w:cs="Times New Roman" w:eastAsia="Times New Roman" w:hAnsi="Times New Roman"/>
          <w:b/>
          <w:bCs/>
          <w:sz w:val="26"/>
          <w:szCs w:val="26"/>
        </w:rPr>
        <w:t xml:space="preserve">3.1 Six trajectory types across 30 systems</w:t>
      </w:r>
    </w:p>
    <w:p>
      <w:pPr>
        <w:spacing w:after="160" w:before="0" w:line="276" w:lineRule="auto"/>
        <w:jc w:val="both"/>
      </w:pPr>
      <w:r>
        <w:rPr>
          <w:rFonts w:ascii="Times New Roman" w:cs="Times New Roman" w:eastAsia="Times New Roman" w:hAnsi="Times New Roman"/>
          <w:sz w:val="24"/>
          <w:szCs w:val="24"/>
        </w:rPr>
        <w:t xml:space="preserve">Table 1 presents the full typology. Of 30 systems, 19 show net D decline, six oscillate, three show net D increase, and two are stable-low.</w:t>
      </w:r>
    </w:p>
    <w:p>
      <w:pPr>
        <w:spacing w:after="80" w:before="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
        <w:gridCol w:w="3000"/>
        <w:gridCol w:w="1215"/>
        <w:gridCol w:w="1215"/>
        <w:gridCol w:w="1215"/>
      </w:tblGrid>
      <w:tr>
        <w:tc>
          <w:tcPr>
            <w:tcW w:type="dxa" w:w="1900"/>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Trajectory type</w:t>
            </w:r>
          </w:p>
        </w:tc>
        <w:tc>
          <w:tcPr>
            <w:tcW w:type="dxa" w:w="400"/>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n</w:t>
            </w:r>
          </w:p>
        </w:tc>
        <w:tc>
          <w:tcPr>
            <w:tcW w:type="dxa" w:w="3000"/>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Mechanism examples</w:t>
            </w:r>
          </w:p>
        </w:tc>
        <w:tc>
          <w:tcPr>
            <w:tcW w:type="dxa" w:w="1215"/>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D-start (mean)</w:t>
            </w:r>
          </w:p>
        </w:tc>
        <w:tc>
          <w:tcPr>
            <w:tcW w:type="dxa" w:w="1215"/>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D-end (mean)</w:t>
            </w:r>
          </w:p>
        </w:tc>
        <w:tc>
          <w:tcPr>
            <w:tcW w:type="dxa" w:w="1215"/>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HI (mean)</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falling_hegemonic</w:t>
            </w:r>
          </w:p>
        </w:tc>
        <w:tc>
          <w:tcPr>
            <w:tcW w:type="dxa" w:w="4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passive revolution, educational hegemony, admin closure</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0.500</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0.286</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0.523</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falling_coercive</w:t>
            </w:r>
          </w:p>
        </w:tc>
        <w:tc>
          <w:tcPr>
            <w:tcW w:type="dxa" w:w="4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9</w:t>
            </w:r>
          </w:p>
        </w:tc>
        <w:tc>
          <w:tcPr>
            <w:tcW w:type="dxa" w:w="30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manufactured consent, admin hegemony, coercive-then-hegemonic</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0.300</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0.101</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0.213</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oscillating</w:t>
            </w:r>
          </w:p>
        </w:tc>
        <w:tc>
          <w:tcPr>
            <w:tcW w:type="dxa" w:w="4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6</w:t>
            </w:r>
          </w:p>
        </w:tc>
        <w:tc>
          <w:tcPr>
            <w:tcW w:type="dxa" w:w="30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resilient with shocks, oscillating counter-hegemony, coercion-to-consent</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0.442</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0.383</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0.392</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falling_mixed</w:t>
            </w:r>
          </w:p>
        </w:tc>
        <w:tc>
          <w:tcPr>
            <w:tcW w:type="dxa" w:w="4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resilient-then-absorbed, admin absorption</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0.667</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0.370</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1.609</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rising</w:t>
            </w:r>
          </w:p>
        </w:tc>
        <w:tc>
          <w:tcPr>
            <w:tcW w:type="dxa" w:w="4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counter-hegemony</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0.633</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0.850</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1.106</w:t>
            </w:r>
          </w:p>
        </w:tc>
      </w:tr>
      <w:tr>
        <w:tc>
          <w:tcPr>
            <w:tcW w:type="dxa" w:w="19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stable_low</w:t>
            </w:r>
          </w:p>
        </w:tc>
        <w:tc>
          <w:tcPr>
            <w:tcW w:type="dxa" w:w="4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2</w:t>
            </w:r>
          </w:p>
        </w:tc>
        <w:tc>
          <w:tcPr>
            <w:tcW w:type="dxa" w:w="30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ideological hegemony (Foucauldian), admin absorption</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0.275</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0.240</w:t>
            </w:r>
          </w:p>
        </w:tc>
        <w:tc>
          <w:tcPr>
            <w:tcW w:type="dxa" w:w="1215"/>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0.057</w:t>
            </w:r>
          </w:p>
        </w:tc>
      </w:tr>
    </w:tbl>
    <w:p>
      <w:pPr>
        <w:spacing w:after="8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i/>
          <w:iCs/>
          <w:sz w:val="24"/>
          <w:szCs w:val="24"/>
        </w:rPr>
        <w:t xml:space="preserve">Table 1. </w:t>
      </w:r>
      <w:r>
        <w:rPr>
          <w:rFonts w:ascii="Times New Roman" w:cs="Times New Roman" w:eastAsia="Times New Roman" w:hAnsi="Times New Roman"/>
          <w:sz w:val="24"/>
          <w:szCs w:val="24"/>
        </w:rPr>
        <w:t xml:space="preserve">Trajectory typology across 30 governance systems. HI = hegemony index (|ΔD|/S); falling_mixed mean HI inflated by Icelandic outlier (HI=3.18). See Figure 1, Panel B.</w:t>
      </w:r>
    </w:p>
    <w:p>
      <w:pPr>
        <w:spacing w:after="8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sz w:val="24"/>
          <w:szCs w:val="24"/>
        </w:rPr>
        <w:t xml:space="preserve">The falling-mixed category contains a methodological marker. The Icelandic Commonwealth (HI=3.18) has S=0.10 — the lowest coercive capacity in the dataset — yet shows the largest absolute D decline in the falling-mixed group. As noted above, this reflects external absorption rather than internal hegemonic drift. Excluding Iceland, the falling-mixed mean HI falls to 0.622. The stable-low category contains two systems representing distinct theoretical mechanisms: the Tokugawa Shogunate (Foucauldian panopticon, discussed in section 6.3) and the Habsburg Composite Monarchy (administrative absorption at low absolute change).</w:t>
      </w:r>
    </w:p>
    <w:p>
      <w:pPr>
        <w:pStyle w:val="Heading2"/>
        <w:spacing w:after="120" w:before="240"/>
      </w:pPr>
      <w:r>
        <w:rPr>
          <w:rFonts w:ascii="Times New Roman" w:cs="Times New Roman" w:eastAsia="Times New Roman" w:hAnsi="Times New Roman"/>
          <w:b/>
          <w:bCs/>
          <w:sz w:val="26"/>
          <w:szCs w:val="26"/>
        </w:rPr>
        <w:t xml:space="preserve">3.2 D-start as a mechanism discriminator: primary finding</w:t>
      </w:r>
    </w:p>
    <w:p>
      <w:pPr>
        <w:spacing w:after="160" w:before="0" w:line="276" w:lineRule="auto"/>
        <w:jc w:val="both"/>
      </w:pPr>
      <w:r>
        <w:rPr>
          <w:rFonts w:ascii="Times New Roman" w:cs="Times New Roman" w:eastAsia="Times New Roman" w:hAnsi="Times New Roman"/>
          <w:sz w:val="24"/>
          <w:szCs w:val="24"/>
        </w:rPr>
        <w:t xml:space="preserve">The Mann-Whitney test (one-tailed, hegemonic &gt; coercive) gives U=52.5, p=0.0135. Falling-hegemonic systems (n=7) have mean D-start=0.500 (SD=0.185); falling-coercive systems (n=9) have mean D-start=0.300 (SD=0.097). The three highest-D hegemonic systems — Roman Republic (D-start=0.70), Weimar Republic (0.70), Venetian Republic (0.60) — are all cases in which genuine prior political participation preceded progressive normalisation, the Gramscian passive-revolution scenario. The three lowest-D coercive systems — Ming Dynasty (D-start=0.15), Tang Dynasty (0.20), Confucian Bureaucracy (0.20) — are high-S East Asian systems in which D was suppressed from the founding period and maintained by administrative and coercive apparatus rather than transformed from prior freedom.</w:t>
      </w:r>
    </w:p>
    <w:p>
      <w:pPr>
        <w:spacing w:after="160" w:before="0" w:line="276" w:lineRule="auto"/>
        <w:jc w:val="both"/>
      </w:pPr>
      <w:r>
        <w:rPr>
          <w:rFonts w:ascii="Times New Roman" w:cs="Times New Roman" w:eastAsia="Times New Roman" w:hAnsi="Times New Roman"/>
          <w:sz w:val="24"/>
          <w:szCs w:val="24"/>
        </w:rPr>
        <w:t xml:space="preserve">The effect is substantively large. The 0.200-point D-start gap spans the θ=0.45 threshold identified in Author (2026a) as the critical transition below which lock-in becomes self-sustaining. Hegemonic systems begin above θ; coercive systems begin below it. This aligns with the D₀ moderator finding from the lock-in sequence analysis (OR=6.46 for avoiding lock-in; Author 2026a): hegemonic systems, beginning above θ, retain the structural potential for counter-hegemonic reversal that coercive systems have already forfeited.</w:t>
      </w:r>
    </w:p>
    <w:p>
      <w:pPr>
        <w:spacing w:after="160" w:before="0" w:line="276" w:lineRule="auto"/>
        <w:jc w:val="both"/>
      </w:pPr>
      <w:r>
        <w:rPr>
          <w:rFonts w:ascii="Times New Roman" w:cs="Times New Roman" w:eastAsia="Times New Roman" w:hAnsi="Times New Roman"/>
          <w:sz w:val="24"/>
          <w:szCs w:val="24"/>
        </w:rPr>
        <w:t xml:space="preserve">Among all 19 falling systems, the Pearson correlation r(D-start, ΔD)=−0.777 (p=0.0001): higher initial D predicts greater total D loss. This reflects the hegemonic mechanism — normalisation projects work harder when there is more freedom to normalise — but is partly structural (higher ceiling, more room to fall). The circularity check r(D-start, S)=−0.806 (p&lt;0.0001) confirms that high-S systems begin suppressed; this structural co-occurrence is explicitly acknowledged as a constraint on the H1 result's independence.</w:t>
      </w:r>
    </w:p>
    <w:p>
      <w:pPr>
        <w:pStyle w:val="Heading1"/>
        <w:spacing w:after="160" w:before="360"/>
      </w:pPr>
      <w:r>
        <w:rPr>
          <w:rFonts w:ascii="Times New Roman" w:cs="Times New Roman" w:eastAsia="Times New Roman" w:hAnsi="Times New Roman"/>
          <w:b/>
          <w:bCs/>
          <w:sz w:val="28"/>
          <w:szCs w:val="28"/>
        </w:rPr>
        <w:t xml:space="preserve">4. Results II: Within-System Mechanism Test</w:t>
      </w:r>
    </w:p>
    <w:p>
      <w:pPr>
        <w:pStyle w:val="Heading2"/>
        <w:spacing w:after="120" w:before="240"/>
      </w:pPr>
      <w:r>
        <w:rPr>
          <w:rFonts w:ascii="Times New Roman" w:cs="Times New Roman" w:eastAsia="Times New Roman" w:hAnsi="Times New Roman"/>
          <w:b/>
          <w:bCs/>
          <w:sz w:val="26"/>
          <w:szCs w:val="26"/>
        </w:rPr>
        <w:t xml:space="preserve">4.1 The sign of r(ΔA, ΔD) as mechanism classifier</w:t>
      </w:r>
    </w:p>
    <w:p>
      <w:pPr>
        <w:spacing w:after="160" w:before="0" w:line="276" w:lineRule="auto"/>
        <w:jc w:val="both"/>
      </w:pPr>
      <w:r>
        <w:rPr>
          <w:rFonts w:ascii="Times New Roman" w:cs="Times New Roman" w:eastAsia="Times New Roman" w:hAnsi="Times New Roman"/>
          <w:sz w:val="24"/>
          <w:szCs w:val="24"/>
        </w:rPr>
        <w:t xml:space="preserve">Table 2 presents the per-system and pooled results. The pooled Spearman r=−0.326 (p=0.003, n=79 intervals) supports H2: across all matched intervals from nine systems, A expansion is significantly associated with D decline. Six of nine systems show r_lag0&lt;0. The two systems with clearly positive r (British r=+0.762, p=0.010; French Third Republic r=+0.891, p&lt;0.001) are precisely the cases where the sign classifier predicts r&gt;0: counter-hegemony and a rising-phase-dominated oscillating trajectory respectively.</w:t>
      </w:r>
    </w:p>
    <w:p>
      <w:pPr>
        <w:spacing w:after="80" w:before="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550"/>
        <w:gridCol w:w="550"/>
        <w:gridCol w:w="800"/>
        <w:gridCol w:w="850"/>
        <w:gridCol w:w="700"/>
        <w:gridCol w:w="700"/>
        <w:gridCol w:w="1450"/>
      </w:tblGrid>
      <w:tr>
        <w:tc>
          <w:tcPr>
            <w:tcW w:type="dxa" w:w="1750"/>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System</w:t>
            </w:r>
          </w:p>
        </w:tc>
        <w:tc>
          <w:tcPr>
            <w:tcW w:type="dxa" w:w="550"/>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n_pts</w:t>
            </w:r>
          </w:p>
        </w:tc>
        <w:tc>
          <w:tcPr>
            <w:tcW w:type="dxa" w:w="550"/>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n_int</w:t>
            </w:r>
          </w:p>
        </w:tc>
        <w:tc>
          <w:tcPr>
            <w:tcW w:type="dxa" w:w="800"/>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r(ΔA,ΔD)</w:t>
            </w:r>
          </w:p>
        </w:tc>
        <w:tc>
          <w:tcPr>
            <w:tcW w:type="dxa" w:w="850"/>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p</w:t>
            </w:r>
          </w:p>
        </w:tc>
        <w:tc>
          <w:tcPr>
            <w:tcW w:type="dxa" w:w="700"/>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lag-1 r</w:t>
            </w:r>
          </w:p>
        </w:tc>
        <w:tc>
          <w:tcPr>
            <w:tcW w:type="dxa" w:w="700"/>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lag-1 p</w:t>
            </w:r>
          </w:p>
        </w:tc>
        <w:tc>
          <w:tcPr>
            <w:tcW w:type="dxa" w:w="1450"/>
            <w:tcBorders>
              <w:top w:val="single" w:color="AAAAAA" w:sz="1"/>
              <w:left w:val="single" w:color="AAAAAA" w:sz="1"/>
              <w:bottom w:val="single" w:color="AAAAAA" w:sz="1"/>
              <w:right w:val="single" w:color="AAAAAA" w:sz="1"/>
            </w:tcBorders>
            <w:shd w:fill="E8E8E8" w:val="clear"/>
            <w:tcMar>
              <w:top w:type="dxa" w:w="60"/>
              <w:left w:type="dxa" w:w="90"/>
              <w:bottom w:type="dxa" w:w="60"/>
              <w:right w:type="dxa" w:w="90"/>
            </w:tcMar>
          </w:tcPr>
          <w:p>
            <w:pPr>
              <w:spacing w:after="0" w:before="0"/>
            </w:pPr>
            <w:r>
              <w:rPr>
                <w:rFonts w:ascii="Times New Roman" w:cs="Times New Roman" w:eastAsia="Times New Roman" w:hAnsi="Times New Roman"/>
                <w:b/>
                <w:bCs/>
                <w:sz w:val="19"/>
                <w:szCs w:val="19"/>
              </w:rPr>
              <w:t xml:space="preserve">Trajectory / Mechanism</w:t>
            </w:r>
          </w:p>
        </w:tc>
      </w:tr>
      <w:tr>
        <w:tc>
          <w:tcPr>
            <w:tcW w:type="dxa" w:w="17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Roman Republic</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8</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7</w:t>
            </w:r>
          </w:p>
        </w:tc>
        <w:tc>
          <w:tcPr>
            <w:tcW w:type="dxa" w:w="8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−0.888</w:t>
            </w:r>
          </w:p>
        </w:tc>
        <w:tc>
          <w:tcPr>
            <w:tcW w:type="dxa" w:w="8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0.008**</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−0.672</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0.144</w:t>
            </w:r>
          </w:p>
        </w:tc>
        <w:tc>
          <w:tcPr>
            <w:tcW w:type="dxa" w:w="14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falling_hegemonic / passive revolution</w:t>
            </w:r>
          </w:p>
        </w:tc>
      </w:tr>
      <w:tr>
        <w:tc>
          <w:tcPr>
            <w:tcW w:type="dxa" w:w="17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Habsburg Comp. Monarchy</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5</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4</w:t>
            </w:r>
          </w:p>
        </w:tc>
        <w:tc>
          <w:tcPr>
            <w:tcW w:type="dxa" w:w="8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−0.689</w:t>
            </w:r>
          </w:p>
        </w:tc>
        <w:tc>
          <w:tcPr>
            <w:tcW w:type="dxa" w:w="8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0.311</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w:t>
            </w:r>
          </w:p>
        </w:tc>
        <w:tc>
          <w:tcPr>
            <w:tcW w:type="dxa" w:w="14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stable_low / admin absorption</w:t>
            </w:r>
          </w:p>
        </w:tc>
      </w:tr>
      <w:tr>
        <w:tc>
          <w:tcPr>
            <w:tcW w:type="dxa" w:w="17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British Parliamentary</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11</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10</w:t>
            </w:r>
          </w:p>
        </w:tc>
        <w:tc>
          <w:tcPr>
            <w:tcW w:type="dxa" w:w="8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+0.762</w:t>
            </w:r>
          </w:p>
        </w:tc>
        <w:tc>
          <w:tcPr>
            <w:tcW w:type="dxa" w:w="8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0.010*</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+0.467</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0.205</w:t>
            </w:r>
          </w:p>
        </w:tc>
        <w:tc>
          <w:tcPr>
            <w:tcW w:type="dxa" w:w="14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rising / counter-hegemony</w:t>
            </w:r>
          </w:p>
        </w:tc>
      </w:tr>
      <w:tr>
        <w:tc>
          <w:tcPr>
            <w:tcW w:type="dxa" w:w="17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Meiji Oligarchy</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9</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8</w:t>
            </w:r>
          </w:p>
        </w:tc>
        <w:tc>
          <w:tcPr>
            <w:tcW w:type="dxa" w:w="8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−0.793</w:t>
            </w:r>
          </w:p>
        </w:tc>
        <w:tc>
          <w:tcPr>
            <w:tcW w:type="dxa" w:w="8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0.019*</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−0.816</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0.025*</w:t>
            </w:r>
          </w:p>
        </w:tc>
        <w:tc>
          <w:tcPr>
            <w:tcW w:type="dxa" w:w="14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falling_coercive / educational hegemony</w:t>
            </w:r>
          </w:p>
        </w:tc>
      </w:tr>
      <w:tr>
        <w:tc>
          <w:tcPr>
            <w:tcW w:type="dxa" w:w="17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Soviet Republics System</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14</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13</w:t>
            </w:r>
          </w:p>
        </w:tc>
        <w:tc>
          <w:tcPr>
            <w:tcW w:type="dxa" w:w="8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−0.980</w:t>
            </w:r>
          </w:p>
        </w:tc>
        <w:tc>
          <w:tcPr>
            <w:tcW w:type="dxa" w:w="8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&lt; 0.001***</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−0.714</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0.009**</w:t>
            </w:r>
          </w:p>
        </w:tc>
        <w:tc>
          <w:tcPr>
            <w:tcW w:type="dxa" w:w="14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oscillating / coercion-to-consent</w:t>
            </w:r>
          </w:p>
        </w:tc>
      </w:tr>
      <w:tr>
        <w:tc>
          <w:tcPr>
            <w:tcW w:type="dxa" w:w="17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Ottoman Empire</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4</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3</w:t>
            </w:r>
          </w:p>
        </w:tc>
        <w:tc>
          <w:tcPr>
            <w:tcW w:type="dxa" w:w="8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+0.726</w:t>
            </w:r>
          </w:p>
        </w:tc>
        <w:tc>
          <w:tcPr>
            <w:tcW w:type="dxa" w:w="8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0.483</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w:t>
            </w:r>
          </w:p>
        </w:tc>
        <w:tc>
          <w:tcPr>
            <w:tcW w:type="dxa" w:w="14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falling_coercive / admin drift</w:t>
            </w:r>
          </w:p>
        </w:tc>
      </w:tr>
      <w:tr>
        <w:tc>
          <w:tcPr>
            <w:tcW w:type="dxa" w:w="17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French Third Republic</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14</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13</w:t>
            </w:r>
          </w:p>
        </w:tc>
        <w:tc>
          <w:tcPr>
            <w:tcW w:type="dxa" w:w="8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+0.891</w:t>
            </w:r>
          </w:p>
        </w:tc>
        <w:tc>
          <w:tcPr>
            <w:tcW w:type="dxa" w:w="8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&lt; 0.001***</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+0.091</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0.778</w:t>
            </w:r>
          </w:p>
        </w:tc>
        <w:tc>
          <w:tcPr>
            <w:tcW w:type="dxa" w:w="14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oscillating / failing counter-hegemony</w:t>
            </w:r>
          </w:p>
        </w:tc>
      </w:tr>
      <w:tr>
        <w:tc>
          <w:tcPr>
            <w:tcW w:type="dxa" w:w="17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CCP Governance</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13</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12</w:t>
            </w:r>
          </w:p>
        </w:tc>
        <w:tc>
          <w:tcPr>
            <w:tcW w:type="dxa" w:w="8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−0.660</w:t>
            </w:r>
          </w:p>
        </w:tc>
        <w:tc>
          <w:tcPr>
            <w:tcW w:type="dxa" w:w="8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0.020*</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−0.159</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0.641</w:t>
            </w:r>
          </w:p>
        </w:tc>
        <w:tc>
          <w:tcPr>
            <w:tcW w:type="dxa" w:w="14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oscillating / coercive-then-hegemonic</w:t>
            </w:r>
          </w:p>
        </w:tc>
      </w:tr>
      <w:tr>
        <w:tc>
          <w:tcPr>
            <w:tcW w:type="dxa" w:w="17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Abbasid Caliphate</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10</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9</w:t>
            </w:r>
          </w:p>
        </w:tc>
        <w:tc>
          <w:tcPr>
            <w:tcW w:type="dxa" w:w="8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−0.869</w:t>
            </w:r>
          </w:p>
        </w:tc>
        <w:tc>
          <w:tcPr>
            <w:tcW w:type="dxa" w:w="8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0.002**</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−0.865</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0.006**</w:t>
            </w:r>
          </w:p>
        </w:tc>
        <w:tc>
          <w:tcPr>
            <w:tcW w:type="dxa" w:w="14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falling_hegemonic / educational hegemony</w:t>
            </w:r>
          </w:p>
        </w:tc>
      </w:tr>
      <w:tr>
        <w:tc>
          <w:tcPr>
            <w:tcW w:type="dxa" w:w="17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Pooled (9 systems)</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w:t>
            </w:r>
          </w:p>
        </w:tc>
        <w:tc>
          <w:tcPr>
            <w:tcW w:type="dxa" w:w="5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79</w:t>
            </w:r>
          </w:p>
        </w:tc>
        <w:tc>
          <w:tcPr>
            <w:tcW w:type="dxa" w:w="8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−0.326†</w:t>
            </w:r>
          </w:p>
        </w:tc>
        <w:tc>
          <w:tcPr>
            <w:tcW w:type="dxa" w:w="8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0.003**</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w:t>
            </w:r>
          </w:p>
        </w:tc>
        <w:tc>
          <w:tcPr>
            <w:tcW w:type="dxa" w:w="70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w:t>
            </w:r>
          </w:p>
        </w:tc>
        <w:tc>
          <w:tcPr>
            <w:tcW w:type="dxa" w:w="1450"/>
            <w:tcBorders>
              <w:top w:val="single" w:color="AAAAAA" w:sz="1"/>
              <w:left w:val="single" w:color="AAAAAA" w:sz="1"/>
              <w:bottom w:val="single" w:color="AAAAAA" w:sz="1"/>
              <w:right w:val="single" w:color="AAAAAA" w:sz="1"/>
            </w:tcBorders>
            <w:shd w:fill="FFFFFF" w:val="clear"/>
            <w:tcMar>
              <w:top w:type="dxa" w:w="60"/>
              <w:left w:type="dxa" w:w="90"/>
              <w:bottom w:type="dxa" w:w="60"/>
              <w:right w:type="dxa" w:w="90"/>
            </w:tcMar>
          </w:tcPr>
          <w:p>
            <w:pPr>
              <w:spacing w:after="0" w:before="0"/>
            </w:pPr>
            <w:r>
              <w:rPr>
                <w:rFonts w:ascii="Times New Roman" w:cs="Times New Roman" w:eastAsia="Times New Roman" w:hAnsi="Times New Roman"/>
                <w:b w:val="false"/>
                <w:bCs w:val="false"/>
                <w:sz w:val="19"/>
                <w:szCs w:val="19"/>
              </w:rPr>
              <w:t xml:space="preserve">—</w:t>
            </w:r>
          </w:p>
        </w:tc>
      </w:tr>
    </w:tbl>
    <w:p>
      <w:pPr>
        <w:spacing w:after="8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i/>
          <w:iCs/>
          <w:sz w:val="24"/>
          <w:szCs w:val="24"/>
        </w:rPr>
        <w:t xml:space="preserve">Table 2. </w:t>
      </w:r>
      <w:r>
        <w:rPr>
          <w:rFonts w:ascii="Times New Roman" w:cs="Times New Roman" w:eastAsia="Times New Roman" w:hAnsi="Times New Roman"/>
          <w:sz w:val="24"/>
          <w:szCs w:val="24"/>
        </w:rPr>
        <w:t xml:space="preserve">Rate-normalised Pearson correlations r(ΔA,ΔD) for nine systems with matched A and D trajectories, matching hegemonic_drift.py v3 methodology. ΔA and ΔD expressed as per-century rates. Lag-1 tests A rate in period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predicting D rate in period </w:t>
      </w:r>
      <w:r>
        <w:rPr>
          <w:rFonts w:ascii="Times New Roman" w:cs="Times New Roman" w:eastAsia="Times New Roman" w:hAnsi="Times New Roman"/>
          <w:i/>
          <w:iCs/>
          <w:sz w:val="24"/>
          <w:szCs w:val="24"/>
        </w:rPr>
        <w:t xml:space="preserve">t+1</w:t>
      </w:r>
      <w:r>
        <w:rPr>
          <w:rFonts w:ascii="Times New Roman" w:cs="Times New Roman" w:eastAsia="Times New Roman" w:hAnsi="Times New Roman"/>
          <w:sz w:val="24"/>
          <w:szCs w:val="24"/>
        </w:rPr>
        <w:t xml:space="preserve">. † Pooled aggregate uses Spearman r. Habsburg and Ottoman lag-1 omitted (n≤3 intervals). * p&lt;0.05; ** p&lt;0.01; *** p&lt;0.001.</w:t>
      </w:r>
    </w:p>
    <w:p>
      <w:pPr>
        <w:spacing w:after="8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sz w:val="24"/>
          <w:szCs w:val="24"/>
        </w:rPr>
        <w:t xml:space="preserve">The Ottoman Empire warrants specific attention in this table. Its r=+0.726 (p=0.483, n=3 intervals, non-significant) appears to contradict the general hegemonic suppression pattern. The positive sign reflects the final interval (1800–1900 CE), in which both A and D decline together — A falls as the Tanzimat reforms fail to reconstitute administrative capacity under European pressure, and D falls as the Hamidian autocracy (1876–1909) intensifies coercive control in the absence of functional administrative infrastructure. This is the joint collapse mechanism: neither hegemonic drift nor coercive maintenance, but co-terminal decay of both administrative capacity and disobedience freedom under imperial overextension. The Ottoman case is developed as a case study in section 6.5.</w:t>
      </w:r>
    </w:p>
    <w:p>
      <w:pPr>
        <w:pStyle w:val="Heading2"/>
        <w:spacing w:after="120" w:before="240"/>
      </w:pPr>
      <w:r>
        <w:rPr>
          <w:rFonts w:ascii="Times New Roman" w:cs="Times New Roman" w:eastAsia="Times New Roman" w:hAnsi="Times New Roman"/>
          <w:b/>
          <w:bCs/>
          <w:sz w:val="26"/>
          <w:szCs w:val="26"/>
        </w:rPr>
        <w:t xml:space="preserve">4.2 Temporal ordering: lag-1 results</w:t>
      </w:r>
    </w:p>
    <w:p>
      <w:pPr>
        <w:spacing w:after="160" w:before="0" w:line="276" w:lineRule="auto"/>
        <w:jc w:val="both"/>
      </w:pPr>
      <w:r>
        <w:rPr>
          <w:rFonts w:ascii="Times New Roman" w:cs="Times New Roman" w:eastAsia="Times New Roman" w:hAnsi="Times New Roman"/>
          <w:sz w:val="24"/>
          <w:szCs w:val="24"/>
        </w:rPr>
        <w:t xml:space="preserve">The lag-1 test provides the strongest available evidence for causal direction. Two systems with n≥7 intervals show significant lag-1 results among the non-Soviet cases.</w:t>
      </w:r>
    </w:p>
    <w:p>
      <w:pPr>
        <w:spacing w:after="160" w:before="0" w:line="276" w:lineRule="auto"/>
        <w:jc w:val="both"/>
      </w:pPr>
      <w:r>
        <w:rPr>
          <w:rFonts w:ascii="Times New Roman" w:cs="Times New Roman" w:eastAsia="Times New Roman" w:hAnsi="Times New Roman"/>
          <w:sz w:val="24"/>
          <w:szCs w:val="24"/>
        </w:rPr>
        <w:t xml:space="preserve">In the </w:t>
      </w:r>
      <w:r>
        <w:rPr>
          <w:rFonts w:ascii="Times New Roman" w:cs="Times New Roman" w:eastAsia="Times New Roman" w:hAnsi="Times New Roman"/>
          <w:b/>
          <w:bCs/>
          <w:sz w:val="24"/>
          <w:szCs w:val="24"/>
        </w:rPr>
        <w:t xml:space="preserve">Meiji Oligarchy</w:t>
      </w:r>
      <w:r>
        <w:rPr>
          <w:rFonts w:ascii="Times New Roman" w:cs="Times New Roman" w:eastAsia="Times New Roman" w:hAnsi="Times New Roman"/>
          <w:sz w:val="24"/>
          <w:szCs w:val="24"/>
        </w:rPr>
        <w:t xml:space="preserve">, A expansion precedes D decline by one period (r=−0.816, p=0.025, n=7 lag-intervals). The Meiji state-building sequence is well-documented: the Gakusei compulsory education ordinance (1872), the land tax reform and family register system (1872–1873), prefectural administrative reorganisation (1871–1879), the Meiji Constitution (1889), and the Peace Preservation Law (1894) each expanded A in one period and were followed by measurable D decline in the next. The temporal sequence is precisely that predicted by the hegemonic model: administrative apparatus is created before the compliance it normalises.</w:t>
      </w:r>
    </w:p>
    <w:p>
      <w:pPr>
        <w:spacing w:after="160" w:before="0" w:line="276" w:lineRule="auto"/>
        <w:jc w:val="both"/>
      </w:pPr>
      <w:r>
        <w:rPr>
          <w:rFonts w:ascii="Times New Roman" w:cs="Times New Roman" w:eastAsia="Times New Roman" w:hAnsi="Times New Roman"/>
          <w:sz w:val="24"/>
          <w:szCs w:val="24"/>
        </w:rPr>
        <w:t xml:space="preserve">In the </w:t>
      </w:r>
      <w:r>
        <w:rPr>
          <w:rFonts w:ascii="Times New Roman" w:cs="Times New Roman" w:eastAsia="Times New Roman" w:hAnsi="Times New Roman"/>
          <w:b/>
          <w:bCs/>
          <w:sz w:val="24"/>
          <w:szCs w:val="24"/>
        </w:rPr>
        <w:t xml:space="preserve">Abbasid Caliphate</w:t>
      </w:r>
      <w:r>
        <w:rPr>
          <w:rFonts w:ascii="Times New Roman" w:cs="Times New Roman" w:eastAsia="Times New Roman" w:hAnsi="Times New Roman"/>
          <w:sz w:val="24"/>
          <w:szCs w:val="24"/>
        </w:rPr>
        <w:t xml:space="preserve">, A expansion precedes D decline by one period (r=−0.865, p=0.006, n=8 lag-intervals). The early expansion of the </w:t>
      </w:r>
      <w:r>
        <w:rPr>
          <w:rFonts w:ascii="Times New Roman" w:cs="Times New Roman" w:eastAsia="Times New Roman" w:hAnsi="Times New Roman"/>
          <w:i/>
          <w:iCs/>
          <w:sz w:val="24"/>
          <w:szCs w:val="24"/>
        </w:rPr>
        <w:t xml:space="preserve">dīwān</w:t>
      </w:r>
      <w:r>
        <w:rPr>
          <w:rFonts w:ascii="Times New Roman" w:cs="Times New Roman" w:eastAsia="Times New Roman" w:hAnsi="Times New Roman"/>
          <w:sz w:val="24"/>
          <w:szCs w:val="24"/>
        </w:rPr>
        <w:t xml:space="preserve"> system (financial and military bureaux, consolidating Sasanid and Byzantine administrative practice from 650–800 CE), the establishment of the </w:t>
      </w:r>
      <w:r>
        <w:rPr>
          <w:rFonts w:ascii="Times New Roman" w:cs="Times New Roman" w:eastAsia="Times New Roman" w:hAnsi="Times New Roman"/>
          <w:i/>
          <w:iCs/>
          <w:sz w:val="24"/>
          <w:szCs w:val="24"/>
        </w:rPr>
        <w:t xml:space="preserve">bayt al-ḥikma</w:t>
      </w:r>
      <w:r>
        <w:rPr>
          <w:rFonts w:ascii="Times New Roman" w:cs="Times New Roman" w:eastAsia="Times New Roman" w:hAnsi="Times New Roman"/>
          <w:sz w:val="24"/>
          <w:szCs w:val="24"/>
        </w:rPr>
        <w:t xml:space="preserve"> (House of Wisdom, 830 CE), and the systematisation of </w:t>
      </w:r>
      <w:r>
        <w:rPr>
          <w:rFonts w:ascii="Times New Roman" w:cs="Times New Roman" w:eastAsia="Times New Roman" w:hAnsi="Times New Roman"/>
          <w:i/>
          <w:iCs/>
          <w:sz w:val="24"/>
          <w:szCs w:val="24"/>
        </w:rPr>
        <w:t xml:space="preserve">fiqh</w:t>
      </w:r>
      <w:r>
        <w:rPr>
          <w:rFonts w:ascii="Times New Roman" w:cs="Times New Roman" w:eastAsia="Times New Roman" w:hAnsi="Times New Roman"/>
          <w:sz w:val="24"/>
          <w:szCs w:val="24"/>
        </w:rPr>
        <w:t xml:space="preserve"> jurisprudence each precede D decline in the subsequent coded period. By 900 CE the educational and juridical infrastructure is self-sustaining, which accounts for the system's hegemonic inertia after 945 CE (section 6.2).</w:t>
      </w:r>
    </w:p>
    <w:p>
      <w:pPr>
        <w:spacing w:after="160" w:before="0" w:line="276"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Roman Republic</w:t>
      </w:r>
      <w:r>
        <w:rPr>
          <w:rFonts w:ascii="Times New Roman" w:cs="Times New Roman" w:eastAsia="Times New Roman" w:hAnsi="Times New Roman"/>
          <w:sz w:val="24"/>
          <w:szCs w:val="24"/>
        </w:rPr>
        <w:t xml:space="preserve"> has r_lag0=−0.888 (p=0.008) — the second strongest contemporaneous result in the dataset — but an insignificant lag-1 r=−0.672 (p=0.144). This pattern distinguishes the Roman passive revolution from the Meiji and Abbasid hegemonic sequences: A expansion and D decline are strongly contemporaneous but not sequentially ordered. The census, legionary administrative apparatus, and political reforms of the Republic are the same process as D suppression, not its antecedent. Section 6.1 develops this interpretation.</w:t>
      </w:r>
    </w:p>
    <w:p>
      <w:pPr>
        <w:pStyle w:val="Heading1"/>
        <w:spacing w:after="160" w:before="360"/>
      </w:pPr>
      <w:r>
        <w:rPr>
          <w:rFonts w:ascii="Times New Roman" w:cs="Times New Roman" w:eastAsia="Times New Roman" w:hAnsi="Times New Roman"/>
          <w:b/>
          <w:bCs/>
          <w:sz w:val="28"/>
          <w:szCs w:val="28"/>
        </w:rPr>
        <w:t xml:space="preserve">5. Results III: Counter-Hegemony and the Sovereignty Constraint</w:t>
      </w:r>
    </w:p>
    <w:p>
      <w:pPr>
        <w:spacing w:after="160" w:before="0" w:line="276" w:lineRule="auto"/>
        <w:jc w:val="both"/>
      </w:pPr>
      <w:r>
        <w:rPr>
          <w:rFonts w:ascii="Times New Roman" w:cs="Times New Roman" w:eastAsia="Times New Roman" w:hAnsi="Times New Roman"/>
          <w:sz w:val="24"/>
          <w:szCs w:val="24"/>
        </w:rPr>
        <w:t xml:space="preserve">All three rising-D systems — British Parliamentary System (ΔD=+0.30, S=0.20), Swiss Cantonal Democracy (ΔD=+0.20, S=0.20), Norwegian Sovereign Wealth Democracy (ΔD=+0.15, S=0.15) — have S≤0.20. Among the 27 non-rising systems, 20 have S&gt;0.45. Fisher exact p=0.030 (one-tailed), supporting H3. The British sign r=+0.762 (p=0.010) confirms the mechanism: in rising-D systems, A and D expand together, consistent with a welfare-bureaucratic counter-hegemony in which state administrative capacity and civil society disobedience freedom are joint products of institution-building rather than antagonists.</w:t>
      </w:r>
    </w:p>
    <w:p>
      <w:pPr>
        <w:spacing w:after="160" w:before="0" w:line="276" w:lineRule="auto"/>
        <w:jc w:val="both"/>
      </w:pPr>
      <w:r>
        <w:rPr>
          <w:rFonts w:ascii="Times New Roman" w:cs="Times New Roman" w:eastAsia="Times New Roman" w:hAnsi="Times New Roman"/>
          <w:sz w:val="24"/>
          <w:szCs w:val="24"/>
        </w:rPr>
        <w:t xml:space="preserve">The structural logic is that counter-hegemony requires the institutionalisation of dissent across generations: not individual acts of refusal but organised structures — free press, trade unions, independent judiciary, civil society organisations — that reproduce a culture of disobedience whether or not any individual challenger is suppressed. Such structures require time to build and are vulnerable to elimination during construction. Low S means the state cannot eliminate them unilaterally during the formative period. Britain's S=0.20 encodes the constitutional convention and parliamentary sovereignty limits created by the 1688 Glorious Revolution; the following two centuries of Chartism, cooperative movements, trade union legalisation (1871), and universal suffrage (1918) built on that foundation rather than requiring it to be created from scratch. Switzerland's S=0.20 reflects the cantonal sovereignty structure that prevented federal suppression of cantonal civic institutions. Norway's S=0.15 is the lowest of any rising-D system, and correspondingly produces the most structurally secure counter-hegemonic trajectory.</w:t>
      </w:r>
    </w:p>
    <w:p>
      <w:pPr>
        <w:spacing w:after="160" w:before="0" w:line="276" w:lineRule="auto"/>
        <w:jc w:val="both"/>
      </w:pPr>
      <w:r>
        <w:rPr>
          <w:rFonts w:ascii="Times New Roman" w:cs="Times New Roman" w:eastAsia="Times New Roman" w:hAnsi="Times New Roman"/>
          <w:sz w:val="24"/>
          <w:szCs w:val="24"/>
        </w:rPr>
        <w:t xml:space="preserve">The Norwegian case has additional theoretical significance. The Government Pension Fund Global (established 1990, funded from North Sea oil revenues) is an </w:t>
      </w:r>
      <w:r>
        <w:rPr>
          <w:rFonts w:ascii="Times New Roman" w:cs="Times New Roman" w:eastAsia="Times New Roman" w:hAnsi="Times New Roman"/>
          <w:i/>
          <w:iCs/>
          <w:sz w:val="24"/>
          <w:szCs w:val="24"/>
        </w:rPr>
        <w:t xml:space="preserve">L</w:t>
      </w:r>
      <w:r>
        <w:rPr>
          <w:rFonts w:ascii="Times New Roman" w:cs="Times New Roman" w:eastAsia="Times New Roman" w:hAnsi="Times New Roman"/>
          <w:sz w:val="24"/>
          <w:szCs w:val="24"/>
        </w:rPr>
        <w:t xml:space="preserve">-type mechanism in the lock-in sequence: a large resource surplus that in most cases (Author 2026a) funds administrative expansion and D suppression. Norway instead channelled this surplus into welfare institutions — healthcare, education, active labour market policy — that deepened civil society autonomy and A-D co-development rather than A-versus-D antagonism. This is a genuine counter-example to the standard L→lock-in pathway and documents path contingency in the relationship between resource surplus and governance trajectory.</w:t>
      </w:r>
    </w:p>
    <w:p>
      <w:pPr>
        <w:spacing w:after="160" w:before="0" w:line="276"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United States Federal Republic</w:t>
      </w:r>
      <w:r>
        <w:rPr>
          <w:rFonts w:ascii="Times New Roman" w:cs="Times New Roman" w:eastAsia="Times New Roman" w:hAnsi="Times New Roman"/>
          <w:sz w:val="24"/>
          <w:szCs w:val="24"/>
        </w:rPr>
        <w:t xml:space="preserve"> (oscillating_counter_hegemony, S=0.45) occupies the boundary position. S=0.45 is exactly the θ-threshold; the US is powerful enough to partially suppress counter-hegemonic movements (McCarthyism, COINTELPRO, post-9/11 surveillance expansion) but not powerful enough to eliminate them entirely, generating oscillating rather than monotonically rising D. The </w:t>
      </w:r>
      <w:r>
        <w:rPr>
          <w:rFonts w:ascii="Times New Roman" w:cs="Times New Roman" w:eastAsia="Times New Roman" w:hAnsi="Times New Roman"/>
          <w:b/>
          <w:bCs/>
          <w:sz w:val="24"/>
          <w:szCs w:val="24"/>
        </w:rPr>
        <w:t xml:space="preserve">Weimar Republic</w:t>
      </w:r>
      <w:r>
        <w:rPr>
          <w:rFonts w:ascii="Times New Roman" w:cs="Times New Roman" w:eastAsia="Times New Roman" w:hAnsi="Times New Roman"/>
          <w:sz w:val="24"/>
          <w:szCs w:val="24"/>
        </w:rPr>
        <w:t xml:space="preserve"> (S=0.40, failing_counter_hegemony) shows the same boundary dynamics: S low enough to allow counter-hegemonic institution-building during 1919–1929, high enough to permit Article 48 emergency powers to be weaponised from 1930. The </w:t>
      </w:r>
      <w:r>
        <w:rPr>
          <w:rFonts w:ascii="Times New Roman" w:cs="Times New Roman" w:eastAsia="Times New Roman" w:hAnsi="Times New Roman"/>
          <w:b/>
          <w:bCs/>
          <w:sz w:val="24"/>
          <w:szCs w:val="24"/>
        </w:rPr>
        <w:t xml:space="preserve">French Third Republic</w:t>
      </w:r>
      <w:r>
        <w:rPr>
          <w:rFonts w:ascii="Times New Roman" w:cs="Times New Roman" w:eastAsia="Times New Roman" w:hAnsi="Times New Roman"/>
          <w:sz w:val="24"/>
          <w:szCs w:val="24"/>
        </w:rPr>
        <w:t xml:space="preserve"> (S=0.50) has a higher S and correspondingly weaker counter-hegemonic resilience: the r=+0.891 reflects the rising phase (laïcité, CGT recognition, republican education, 1870–1905) dominating the signal, but the net trajectory is oscillating with D declining under the pressure of the 1930s Depression and Vichy.</w:t>
      </w:r>
    </w:p>
    <w:p>
      <w:pPr>
        <w:pStyle w:val="Heading1"/>
        <w:spacing w:after="160" w:before="360"/>
      </w:pPr>
      <w:r>
        <w:rPr>
          <w:rFonts w:ascii="Times New Roman" w:cs="Times New Roman" w:eastAsia="Times New Roman" w:hAnsi="Times New Roman"/>
          <w:b/>
          <w:bCs/>
          <w:sz w:val="28"/>
          <w:szCs w:val="28"/>
        </w:rPr>
        <w:t xml:space="preserve">6. Five Case Studies: Mechanism Types</w:t>
      </w:r>
    </w:p>
    <w:p>
      <w:pPr>
        <w:pStyle w:val="Heading2"/>
        <w:spacing w:after="120" w:before="240"/>
      </w:pPr>
      <w:r>
        <w:rPr>
          <w:rFonts w:ascii="Times New Roman" w:cs="Times New Roman" w:eastAsia="Times New Roman" w:hAnsi="Times New Roman"/>
          <w:b/>
          <w:bCs/>
          <w:sz w:val="26"/>
          <w:szCs w:val="26"/>
        </w:rPr>
        <w:t xml:space="preserve">6.1 Hegemonic drift: the Roman passive revolution</w:t>
      </w:r>
    </w:p>
    <w:p>
      <w:pPr>
        <w:spacing w:after="160" w:before="0" w:line="276" w:lineRule="auto"/>
        <w:jc w:val="both"/>
      </w:pPr>
      <w:r>
        <w:rPr>
          <w:rFonts w:ascii="Times New Roman" w:cs="Times New Roman" w:eastAsia="Times New Roman" w:hAnsi="Times New Roman"/>
          <w:sz w:val="24"/>
          <w:szCs w:val="24"/>
        </w:rPr>
        <w:t xml:space="preserve">The Roman Republic (500–27 BCE) is the paradigm case of passive revolution: elite-managed reform that absorbs subaltern demands without satisfying them, producing a new hegemonic settlement in which popular political forms persist but popular political power is evacuated (Gramsci 1971, Q15§59; Q19§24). D declines from 0.70 at 500 BCE to 0.35 at 27 BCE, a loss of 0.35 over 473 years, while S remains stable at 0.45 and A expands from 0.40 to 0.65.</w:t>
      </w:r>
    </w:p>
    <w:p>
      <w:pPr>
        <w:spacing w:after="160" w:before="0" w:line="276" w:lineRule="auto"/>
        <w:jc w:val="both"/>
      </w:pPr>
      <w:r>
        <w:rPr>
          <w:rFonts w:ascii="Times New Roman" w:cs="Times New Roman" w:eastAsia="Times New Roman" w:hAnsi="Times New Roman"/>
          <w:sz w:val="24"/>
          <w:szCs w:val="24"/>
        </w:rPr>
        <w:t xml:space="preserve">The trajectory's two phases explain both the high D-start and the strong contemporaneous r. During the first phase (500–300 BCE), the conflict of the orders generates genuine D expansion: the Lex Hortensia (287 BCE) makes plebiscita binding on all citizens and the tribunes of the plebs acquire real veto capacity. This is why D-start=0.70 — the Republic actually instantiated disobedience freedoms before progressively suppressing them. During the second phase (300–27 BCE), military expansion, Marian army reforms (107 BCE), and the concentration of imperium in individual commanders (Sulla, Pompey, Caesar) transform constitutional structures into instruments of elite competition. The tribune's veto is first manipulated, then overridden, then suppressed by violence (Ti. Gracchus, 133 BCE; C. Gracchus, 121 BCE).</w:t>
      </w:r>
    </w:p>
    <w:p>
      <w:pPr>
        <w:spacing w:after="160" w:before="0" w:line="276" w:lineRule="auto"/>
        <w:jc w:val="both"/>
      </w:pPr>
      <w:r>
        <w:rPr>
          <w:rFonts w:ascii="Times New Roman" w:cs="Times New Roman" w:eastAsia="Times New Roman" w:hAnsi="Times New Roman"/>
          <w:sz w:val="24"/>
          <w:szCs w:val="24"/>
        </w:rPr>
        <w:t xml:space="preserve">The strong contemporaneous r=−0.888 (p=0.008) but insignificant lag-1 r=−0.672 (p=0.144) confirms the passive revolution structure: A expansion and D decline are the same political act, not sequential. The census measures the population for military recruitment; military service creates the hierarchy that enforces compliance; the hierarchy is the same apparatus that expands A. Reform and suppression are structurally coupled in a way that produces no temporal lag.</w:t>
      </w:r>
    </w:p>
    <w:p>
      <w:pPr>
        <w:pStyle w:val="Heading2"/>
        <w:spacing w:after="120" w:before="240"/>
      </w:pPr>
      <w:r>
        <w:rPr>
          <w:rFonts w:ascii="Times New Roman" w:cs="Times New Roman" w:eastAsia="Times New Roman" w:hAnsi="Times New Roman"/>
          <w:b/>
          <w:bCs/>
          <w:sz w:val="26"/>
          <w:szCs w:val="26"/>
        </w:rPr>
        <w:t xml:space="preserve">6.2 Hegemonic inertia: the Abbasid Caliphate</w:t>
      </w:r>
    </w:p>
    <w:p>
      <w:pPr>
        <w:spacing w:after="160" w:before="0" w:line="276" w:lineRule="auto"/>
        <w:jc w:val="both"/>
      </w:pPr>
      <w:r>
        <w:rPr>
          <w:rFonts w:ascii="Times New Roman" w:cs="Times New Roman" w:eastAsia="Times New Roman" w:hAnsi="Times New Roman"/>
          <w:sz w:val="24"/>
          <w:szCs w:val="24"/>
        </w:rPr>
        <w:t xml:space="preserve">The Abbasid trajectory (650–1258 CE, extended to the Rashidun period to capture the early </w:t>
      </w:r>
      <w:r>
        <w:rPr>
          <w:rFonts w:ascii="Times New Roman" w:cs="Times New Roman" w:eastAsia="Times New Roman" w:hAnsi="Times New Roman"/>
          <w:i/>
          <w:iCs/>
          <w:sz w:val="24"/>
          <w:szCs w:val="24"/>
        </w:rPr>
        <w:t xml:space="preserve">dīwān</w:t>
      </w:r>
      <w:r>
        <w:rPr>
          <w:rFonts w:ascii="Times New Roman" w:cs="Times New Roman" w:eastAsia="Times New Roman" w:hAnsi="Times New Roman"/>
          <w:sz w:val="24"/>
          <w:szCs w:val="24"/>
        </w:rPr>
        <w:t xml:space="preserve"> consolidation at 650 CE) provides the clearest evidence for hegemonic inertia: D suppression persisting long after the coercive capacity that initiated it has collapsed. D falls from 0.50 at 650 CE to 0.15 by 1200 CE — a decline of 0.35 over 550 years — but does not arrest when the Buyid dynasty reduces the Abbasid caliph to a religious figurehead (945 CE). Between 945 and 1200 CE, D continues declining (0.18→0.17→0.16→0.15) despite the near-total collapse of Abbasid political sovereignty.</w:t>
      </w:r>
    </w:p>
    <w:p>
      <w:pPr>
        <w:spacing w:after="160" w:before="0" w:line="276" w:lineRule="auto"/>
        <w:jc w:val="both"/>
      </w:pPr>
      <w:r>
        <w:rPr>
          <w:rFonts w:ascii="Times New Roman" w:cs="Times New Roman" w:eastAsia="Times New Roman" w:hAnsi="Times New Roman"/>
          <w:sz w:val="24"/>
          <w:szCs w:val="24"/>
        </w:rPr>
        <w:t xml:space="preserve">The lag-1 r=−0.865 (p=0.006) identifies the administrative sequence: A expansion through the </w:t>
      </w:r>
      <w:r>
        <w:rPr>
          <w:rFonts w:ascii="Times New Roman" w:cs="Times New Roman" w:eastAsia="Times New Roman" w:hAnsi="Times New Roman"/>
          <w:i/>
          <w:iCs/>
          <w:sz w:val="24"/>
          <w:szCs w:val="24"/>
        </w:rPr>
        <w:t xml:space="preserve">dīwān</w:t>
      </w:r>
      <w:r>
        <w:rPr>
          <w:rFonts w:ascii="Times New Roman" w:cs="Times New Roman" w:eastAsia="Times New Roman" w:hAnsi="Times New Roman"/>
          <w:sz w:val="24"/>
          <w:szCs w:val="24"/>
        </w:rPr>
        <w:t xml:space="preserve"> system (650–800 CE), the </w:t>
      </w:r>
      <w:r>
        <w:rPr>
          <w:rFonts w:ascii="Times New Roman" w:cs="Times New Roman" w:eastAsia="Times New Roman" w:hAnsi="Times New Roman"/>
          <w:i/>
          <w:iCs/>
          <w:sz w:val="24"/>
          <w:szCs w:val="24"/>
        </w:rPr>
        <w:t xml:space="preserve">bayt al-ḥikma</w:t>
      </w:r>
      <w:r>
        <w:rPr>
          <w:rFonts w:ascii="Times New Roman" w:cs="Times New Roman" w:eastAsia="Times New Roman" w:hAnsi="Times New Roman"/>
          <w:sz w:val="24"/>
          <w:szCs w:val="24"/>
        </w:rPr>
        <w:t xml:space="preserve"> (830 CE), and the consolidation of </w:t>
      </w:r>
      <w:r>
        <w:rPr>
          <w:rFonts w:ascii="Times New Roman" w:cs="Times New Roman" w:eastAsia="Times New Roman" w:hAnsi="Times New Roman"/>
          <w:i/>
          <w:iCs/>
          <w:sz w:val="24"/>
          <w:szCs w:val="24"/>
        </w:rPr>
        <w:t xml:space="preserve">fiqh</w:t>
      </w:r>
      <w:r>
        <w:rPr>
          <w:rFonts w:ascii="Times New Roman" w:cs="Times New Roman" w:eastAsia="Times New Roman" w:hAnsi="Times New Roman"/>
          <w:sz w:val="24"/>
          <w:szCs w:val="24"/>
        </w:rPr>
        <w:t xml:space="preserve"> jurisprudence precedes D decline in each subsequent period. By 900 CE the </w:t>
      </w:r>
      <w:r>
        <w:rPr>
          <w:rFonts w:ascii="Times New Roman" w:cs="Times New Roman" w:eastAsia="Times New Roman" w:hAnsi="Times New Roman"/>
          <w:i/>
          <w:iCs/>
          <w:sz w:val="24"/>
          <w:szCs w:val="24"/>
        </w:rPr>
        <w:t xml:space="preserve">'ulamāʾ</w:t>
      </w:r>
      <w:r>
        <w:rPr>
          <w:rFonts w:ascii="Times New Roman" w:cs="Times New Roman" w:eastAsia="Times New Roman" w:hAnsi="Times New Roman"/>
          <w:sz w:val="24"/>
          <w:szCs w:val="24"/>
        </w:rPr>
        <w:t xml:space="preserve"> class controls access to textual interpretation and the madrasa network is reproducing compliance as religious duty. The concept of </w:t>
      </w:r>
      <w:r>
        <w:rPr>
          <w:rFonts w:ascii="Times New Roman" w:cs="Times New Roman" w:eastAsia="Times New Roman" w:hAnsi="Times New Roman"/>
          <w:i/>
          <w:iCs/>
          <w:sz w:val="24"/>
          <w:szCs w:val="24"/>
        </w:rPr>
        <w:t xml:space="preserve">taʿat</w:t>
      </w:r>
      <w:r>
        <w:rPr>
          <w:rFonts w:ascii="Times New Roman" w:cs="Times New Roman" w:eastAsia="Times New Roman" w:hAnsi="Times New Roman"/>
          <w:sz w:val="24"/>
          <w:szCs w:val="24"/>
        </w:rPr>
        <w:t xml:space="preserve"> (obedience to legitimate authority) has been elaborated into a comprehensive ethical framework in which organised disobedience is theologically problematic, not merely politically dangerous.</w:t>
      </w:r>
    </w:p>
    <w:p>
      <w:pPr>
        <w:spacing w:after="160" w:before="0" w:line="276" w:lineRule="auto"/>
        <w:jc w:val="both"/>
      </w:pPr>
      <w:r>
        <w:rPr>
          <w:rFonts w:ascii="Times New Roman" w:cs="Times New Roman" w:eastAsia="Times New Roman" w:hAnsi="Times New Roman"/>
          <w:sz w:val="24"/>
          <w:szCs w:val="24"/>
        </w:rPr>
        <w:t xml:space="preserve">After 945 CE the hegemonic apparatus is self-reproducing. It no longer requires state backing because it has become the constitutive cultural infrastructure of the society. This is the endpoint Gramsci envisioned for mature hegemony: coercion becomes superfluous because consent has been rendered structural. The Abbasid case documents this empirically over three centuries of declining coercive capacity with no corresponding D recovery — hegemonic inertia as a measurable phenomenon.</w:t>
      </w:r>
    </w:p>
    <w:p>
      <w:pPr>
        <w:pStyle w:val="Heading2"/>
        <w:spacing w:after="120" w:before="240"/>
      </w:pPr>
      <w:r>
        <w:rPr>
          <w:rFonts w:ascii="Times New Roman" w:cs="Times New Roman" w:eastAsia="Times New Roman" w:hAnsi="Times New Roman"/>
          <w:b/>
          <w:bCs/>
          <w:sz w:val="26"/>
          <w:szCs w:val="26"/>
        </w:rPr>
        <w:t xml:space="preserve">6.3 The Foucauldian stable-low: Tokugawa Japan</w:t>
      </w:r>
    </w:p>
    <w:p>
      <w:pPr>
        <w:spacing w:after="160" w:before="0" w:line="276" w:lineRule="auto"/>
        <w:jc w:val="both"/>
      </w:pPr>
      <w:r>
        <w:rPr>
          <w:rFonts w:ascii="Times New Roman" w:cs="Times New Roman" w:eastAsia="Times New Roman" w:hAnsi="Times New Roman"/>
          <w:sz w:val="24"/>
          <w:szCs w:val="24"/>
        </w:rPr>
        <w:t xml:space="preserve">The Tokugawa Shogunate (1603–1868 CE) presents a theoretically distinct trajectory: stable-low. D begins at 0.20 in 1603, dips briefly to 0.15 in the consolidation period, and stabilises at 0.18 by 1830, giving ΔD=−0.02 and HI=0.025 — the lowest non-zero HI in the dataset. S=0.80, A=0.80, yet suppression requires no active coercive deployment and D does not drift. This is the Foucauldian case: compliance produced by the organisation of surveillance rather than by persuasion or force.</w:t>
      </w:r>
    </w:p>
    <w:p>
      <w:pPr>
        <w:spacing w:after="160" w:before="0" w:line="276"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sankin-kōtai</w:t>
      </w:r>
      <w:r>
        <w:rPr>
          <w:rFonts w:ascii="Times New Roman" w:cs="Times New Roman" w:eastAsia="Times New Roman" w:hAnsi="Times New Roman"/>
          <w:sz w:val="24"/>
          <w:szCs w:val="24"/>
        </w:rPr>
        <w:t xml:space="preserve"> system (mandatory alternating residence of daimyō between their domains and Edo) functions as a hostage-and-surveillance apparatus that makes defection structurally inconvenient rather than merely dangerous. The </w:t>
      </w:r>
      <w:r>
        <w:rPr>
          <w:rFonts w:ascii="Times New Roman" w:cs="Times New Roman" w:eastAsia="Times New Roman" w:hAnsi="Times New Roman"/>
          <w:i/>
          <w:iCs/>
          <w:sz w:val="24"/>
          <w:szCs w:val="24"/>
        </w:rPr>
        <w:t xml:space="preserve">goningumi</w:t>
      </w:r>
      <w:r>
        <w:rPr>
          <w:rFonts w:ascii="Times New Roman" w:cs="Times New Roman" w:eastAsia="Times New Roman" w:hAnsi="Times New Roman"/>
          <w:sz w:val="24"/>
          <w:szCs w:val="24"/>
        </w:rPr>
        <w:t xml:space="preserve"> (five-family mutual responsibility groups) produce lateral surveillance: neighbours are collectively liable for individual non-compliance. The </w:t>
      </w:r>
      <w:r>
        <w:rPr>
          <w:rFonts w:ascii="Times New Roman" w:cs="Times New Roman" w:eastAsia="Times New Roman" w:hAnsi="Times New Roman"/>
          <w:i/>
          <w:iCs/>
          <w:sz w:val="24"/>
          <w:szCs w:val="24"/>
        </w:rPr>
        <w:t xml:space="preserve">terauke</w:t>
      </w:r>
      <w:r>
        <w:rPr>
          <w:rFonts w:ascii="Times New Roman" w:cs="Times New Roman" w:eastAsia="Times New Roman" w:hAnsi="Times New Roman"/>
          <w:sz w:val="24"/>
          <w:szCs w:val="24"/>
        </w:rPr>
        <w:t xml:space="preserve"> (temple registration) system makes religious institutions into population identification bureaux. The hereditary status system (</w:t>
      </w:r>
      <w:r>
        <w:rPr>
          <w:rFonts w:ascii="Times New Roman" w:cs="Times New Roman" w:eastAsia="Times New Roman" w:hAnsi="Times New Roman"/>
          <w:i/>
          <w:iCs/>
          <w:sz w:val="24"/>
          <w:szCs w:val="24"/>
        </w:rPr>
        <w:t xml:space="preserve">mibun seido</w:t>
      </w:r>
      <w:r>
        <w:rPr>
          <w:rFonts w:ascii="Times New Roman" w:cs="Times New Roman" w:eastAsia="Times New Roman" w:hAnsi="Times New Roman"/>
          <w:sz w:val="24"/>
          <w:szCs w:val="24"/>
        </w:rPr>
        <w:t xml:space="preserve">) encodes political incapacity into occupational identity from birth. These mechanisms do not persuade subjects that obedience is virtuous; they organise social space such that disobedience is immediately visible and practically inconceivable.</w:t>
      </w:r>
    </w:p>
    <w:p>
      <w:pPr>
        <w:spacing w:after="160" w:before="0" w:line="276" w:lineRule="auto"/>
        <w:jc w:val="both"/>
      </w:pPr>
      <w:r>
        <w:rPr>
          <w:rFonts w:ascii="Times New Roman" w:cs="Times New Roman" w:eastAsia="Times New Roman" w:hAnsi="Times New Roman"/>
          <w:sz w:val="24"/>
          <w:szCs w:val="24"/>
        </w:rPr>
        <w:t xml:space="preserve">The distinction from the Gramscian model has a precise empirical signature. In hegemonic drift systems, D declines over time as normalisation takes hold on a previously free population. In the Tokugawa case, D begins at its stable equilibrium — low from the first coded point, reflecting a post-Sengoku population that actively sought order after 150 years of civil war. The Shogunate did not need to drift D downward because it inherited a population that had consented to suppression as the price of stability. Foucauldian normalisation does not require drift because it begins at its endpoint.</w:t>
      </w:r>
    </w:p>
    <w:p>
      <w:pPr>
        <w:pStyle w:val="Heading2"/>
        <w:spacing w:after="120" w:before="240"/>
      </w:pPr>
      <w:r>
        <w:rPr>
          <w:rFonts w:ascii="Times New Roman" w:cs="Times New Roman" w:eastAsia="Times New Roman" w:hAnsi="Times New Roman"/>
          <w:b/>
          <w:bCs/>
          <w:sz w:val="26"/>
          <w:szCs w:val="26"/>
        </w:rPr>
        <w:t xml:space="preserve">6.4 Coercion-to-consent: the Soviet arc</w:t>
      </w:r>
    </w:p>
    <w:p>
      <w:pPr>
        <w:spacing w:after="160" w:before="0" w:line="276" w:lineRule="auto"/>
        <w:jc w:val="both"/>
      </w:pPr>
      <w:r>
        <w:rPr>
          <w:rFonts w:ascii="Times New Roman" w:cs="Times New Roman" w:eastAsia="Times New Roman" w:hAnsi="Times New Roman"/>
          <w:sz w:val="24"/>
          <w:szCs w:val="24"/>
        </w:rPr>
        <w:t xml:space="preserve">The Soviet Republics System (1917–1991 CE) has 14 matched time points — the most temporally resolved case in the A-trajectory subsample. Its r_lag0=−0.980 (p&lt;0.001) is the strongest in the dataset, and its oscillating trajectory reflects a three-phase arc: extreme coercion (D=0.05 at the height of the Stalin terror, 1937; D=0.03 at the famine-forced collectivisation period), a partial consent-oriented release under Khrushchev (D recovers to 0.08–0.12 during de-Stalinisation), and rapid D expansion under Gorbachev's glasnost and demokratizatsiya (D reaches 0.45 in 1991).</w:t>
      </w:r>
    </w:p>
    <w:p>
      <w:pPr>
        <w:spacing w:after="160" w:before="0" w:line="276" w:lineRule="auto"/>
        <w:jc w:val="both"/>
      </w:pPr>
      <w:r>
        <w:rPr>
          <w:rFonts w:ascii="Times New Roman" w:cs="Times New Roman" w:eastAsia="Times New Roman" w:hAnsi="Times New Roman"/>
          <w:sz w:val="24"/>
          <w:szCs w:val="24"/>
        </w:rPr>
        <w:t xml:space="preserve">The mechanism classification </w:t>
      </w:r>
      <w:r>
        <w:rPr>
          <w:rFonts w:ascii="Times New Roman" w:cs="Times New Roman" w:eastAsia="Times New Roman" w:hAnsi="Times New Roman"/>
          <w:i/>
          <w:iCs/>
          <w:sz w:val="24"/>
          <w:szCs w:val="24"/>
        </w:rPr>
        <w:t xml:space="preserve">coercion_to_consent</w:t>
      </w:r>
      <w:r>
        <w:rPr>
          <w:rFonts w:ascii="Times New Roman" w:cs="Times New Roman" w:eastAsia="Times New Roman" w:hAnsi="Times New Roman"/>
          <w:sz w:val="24"/>
          <w:szCs w:val="24"/>
        </w:rPr>
        <w:t xml:space="preserve"> captures a trajectory that does not fit purely into either the hegemonic or coercive category. In the Stalinist phase, A and D co-vary because the same political events drive both: the NKVD operational orders (Order 00447, 1937) expand repressive administrative capacity while driving D to its minimum. In the post-Stalin phase, de-Stalinisation reduces A-as-coercion while D recovers. In the Gorbachev phase, civil society expansion drives both A and D upward simultaneously. The lag-1 r=−0.714 (p=0.009) confirms that A expansions precede D changes even with the one-period lag — most interpretably in the Stalinist sequence, where the administrative infrastructure of the purge precedes the D minimum.</w:t>
      </w:r>
    </w:p>
    <w:p>
      <w:pPr>
        <w:spacing w:after="160" w:before="0" w:line="276" w:lineRule="auto"/>
        <w:jc w:val="both"/>
      </w:pPr>
      <w:r>
        <w:rPr>
          <w:rFonts w:ascii="Times New Roman" w:cs="Times New Roman" w:eastAsia="Times New Roman" w:hAnsi="Times New Roman"/>
          <w:sz w:val="24"/>
          <w:szCs w:val="24"/>
        </w:rPr>
        <w:t xml:space="preserve">The Soviet case flags a limitation of the single A variable. The administrative capacity measure captures both repressive capacity (NKVD, gulag administration, internal passport system) and normalising capacity (Gosplan educational system, Komsomol, Soviet scientific institutions). In hegemonic systems like the Abbasid and Meiji cases, A expansion reflects primarily the normalising variant; in the Soviet case both variants are active and the correlation captures their joint contribution. Decomposing A into repressive and normalising sub-components is identified as a priority for future data development.</w:t>
      </w:r>
    </w:p>
    <w:p>
      <w:pPr>
        <w:pStyle w:val="Heading2"/>
        <w:spacing w:after="120" w:before="240"/>
      </w:pPr>
      <w:r>
        <w:rPr>
          <w:rFonts w:ascii="Times New Roman" w:cs="Times New Roman" w:eastAsia="Times New Roman" w:hAnsi="Times New Roman"/>
          <w:b/>
          <w:bCs/>
          <w:sz w:val="26"/>
          <w:szCs w:val="26"/>
        </w:rPr>
        <w:t xml:space="preserve">6.5 Joint administrative collapse: the Ottoman Empire</w:t>
      </w:r>
    </w:p>
    <w:p>
      <w:pPr>
        <w:spacing w:after="160" w:before="0" w:line="276" w:lineRule="auto"/>
        <w:jc w:val="both"/>
      </w:pPr>
      <w:r>
        <w:rPr>
          <w:rFonts w:ascii="Times New Roman" w:cs="Times New Roman" w:eastAsia="Times New Roman" w:hAnsi="Times New Roman"/>
          <w:sz w:val="24"/>
          <w:szCs w:val="24"/>
        </w:rPr>
        <w:t xml:space="preserve">The Ottoman Empire (1300–1900 CE) represents the fourth mechanism type: joint administrative collapse. D declines from 0.35 in 1300 CE to 0.15 in 1900 CE (ΔD=−0.20), with S=0.80 coding the high nominal coercive capacity of a major empire. The trajectory type is </w:t>
      </w:r>
      <w:r>
        <w:rPr>
          <w:rFonts w:ascii="Times New Roman" w:cs="Times New Roman" w:eastAsia="Times New Roman" w:hAnsi="Times New Roman"/>
          <w:i/>
          <w:iCs/>
          <w:sz w:val="24"/>
          <w:szCs w:val="24"/>
        </w:rPr>
        <w:t xml:space="preserve">falling_coercive</w:t>
      </w:r>
      <w:r>
        <w:rPr>
          <w:rFonts w:ascii="Times New Roman" w:cs="Times New Roman" w:eastAsia="Times New Roman" w:hAnsi="Times New Roman"/>
          <w:sz w:val="24"/>
          <w:szCs w:val="24"/>
        </w:rPr>
        <w:t xml:space="preserve"> and the mechanism </w:t>
      </w:r>
      <w:r>
        <w:rPr>
          <w:rFonts w:ascii="Times New Roman" w:cs="Times New Roman" w:eastAsia="Times New Roman" w:hAnsi="Times New Roman"/>
          <w:i/>
          <w:iCs/>
          <w:sz w:val="24"/>
          <w:szCs w:val="24"/>
        </w:rPr>
        <w:t xml:space="preserve">administrative_drift</w:t>
      </w:r>
      <w:r>
        <w:rPr>
          <w:rFonts w:ascii="Times New Roman" w:cs="Times New Roman" w:eastAsia="Times New Roman" w:hAnsi="Times New Roman"/>
          <w:sz w:val="24"/>
          <w:szCs w:val="24"/>
        </w:rPr>
        <w:t xml:space="preserve"> — yet the within-system r=+0.726 (positive) marks the Ottoman as the sign-classifier exception, the system where neither hegemonic nor coercive suppression drives the pattern.</w:t>
      </w:r>
    </w:p>
    <w:p>
      <w:pPr>
        <w:spacing w:after="160" w:before="0" w:line="276" w:lineRule="auto"/>
        <w:jc w:val="both"/>
      </w:pPr>
      <w:r>
        <w:rPr>
          <w:rFonts w:ascii="Times New Roman" w:cs="Times New Roman" w:eastAsia="Times New Roman" w:hAnsi="Times New Roman"/>
          <w:sz w:val="24"/>
          <w:szCs w:val="24"/>
        </w:rPr>
        <w:t xml:space="preserve">The mechanism is best understood through the three matched intervals. From 1300–1600 CE, A rises sharply (0.60→0.80) as the Ottoman administrative apparatus consolidates — the </w:t>
      </w:r>
      <w:r>
        <w:rPr>
          <w:rFonts w:ascii="Times New Roman" w:cs="Times New Roman" w:eastAsia="Times New Roman" w:hAnsi="Times New Roman"/>
          <w:i/>
          <w:iCs/>
          <w:sz w:val="24"/>
          <w:szCs w:val="24"/>
        </w:rPr>
        <w:t xml:space="preserve">devshirme</w:t>
      </w:r>
      <w:r>
        <w:rPr>
          <w:rFonts w:ascii="Times New Roman" w:cs="Times New Roman" w:eastAsia="Times New Roman" w:hAnsi="Times New Roman"/>
          <w:sz w:val="24"/>
          <w:szCs w:val="24"/>
        </w:rPr>
        <w:t xml:space="preserve"> (palace slave recruitment) system creates a meritocratic administrative class, the </w:t>
      </w:r>
      <w:r>
        <w:rPr>
          <w:rFonts w:ascii="Times New Roman" w:cs="Times New Roman" w:eastAsia="Times New Roman" w:hAnsi="Times New Roman"/>
          <w:i/>
          <w:iCs/>
          <w:sz w:val="24"/>
          <w:szCs w:val="24"/>
        </w:rPr>
        <w:t xml:space="preserve">millet</w:t>
      </w:r>
      <w:r>
        <w:rPr>
          <w:rFonts w:ascii="Times New Roman" w:cs="Times New Roman" w:eastAsia="Times New Roman" w:hAnsi="Times New Roman"/>
          <w:sz w:val="24"/>
          <w:szCs w:val="24"/>
        </w:rPr>
        <w:t xml:space="preserve"> system organises confessional communities under their own juridical structures, and the </w:t>
      </w:r>
      <w:r>
        <w:rPr>
          <w:rFonts w:ascii="Times New Roman" w:cs="Times New Roman" w:eastAsia="Times New Roman" w:hAnsi="Times New Roman"/>
          <w:i/>
          <w:iCs/>
          <w:sz w:val="24"/>
          <w:szCs w:val="24"/>
        </w:rPr>
        <w:t xml:space="preserve">timar</w:t>
      </w:r>
      <w:r>
        <w:rPr>
          <w:rFonts w:ascii="Times New Roman" w:cs="Times New Roman" w:eastAsia="Times New Roman" w:hAnsi="Times New Roman"/>
          <w:sz w:val="24"/>
          <w:szCs w:val="24"/>
        </w:rPr>
        <w:t xml:space="preserve"> land-grant system builds a coherent provincial administration. Over this same period D declines moderately (0.35→0.25), consistent with the hegemonic direction (r&lt;0 for this interval alone). From 1600–1800 CE, A stabilises (0.80→0.82) and D continues declining modestly (0.25→0.20), a weak hegemonic or coercive maintenance signal. The decisive interval is 1800–1900 CE: A falls significantly (0.82→0.75, reflecting the failure of Tanzimat administrative modernisation and the progressive loss of provincial control) while D falls most steeply (0.20→0.15, the Hamidian autocracy's coercive response to the collapse of administrative legitimacy). This final interval generates the positive r: A and D both decline, but for different reasons — A collapses due to institutional failure and external pressure, D collapses due to intensified coercive compensation for that institutional failure.</w:t>
      </w:r>
    </w:p>
    <w:p>
      <w:pPr>
        <w:spacing w:after="160" w:before="0" w:line="276" w:lineRule="auto"/>
        <w:jc w:val="both"/>
      </w:pPr>
      <w:r>
        <w:rPr>
          <w:rFonts w:ascii="Times New Roman" w:cs="Times New Roman" w:eastAsia="Times New Roman" w:hAnsi="Times New Roman"/>
          <w:sz w:val="24"/>
          <w:szCs w:val="24"/>
        </w:rPr>
        <w:t xml:space="preserve">The Ottoman trajectory thus documents joint collapse as a distinct fourth mechanism: neither A-vehicles-D-decline (hegemonic) nor high-S-maintains-low-D (coercive), but A-and-D-co-decline-under-overextension. The positive r is produced by the final-phase co-movement of two declining variables rather than by the counter-hegemonic co-expansion pattern observed in the British case. The mechanism distinction is theoretically important: joint collapse implies that restoration requires simultaneous reconstruction of both administrative capacity and civic freedom, not simply the removal of a coercive apparatus. The Ottoman millet system is worth noting as a partial exception — by granting confessional communities genuine institutional autonomy, it preserved a residual D above the floor that would be expected from S=0.80 alone, consistent with the notes field observation that the millet system constitutes a partial exemption from full lock-in.</w:t>
      </w:r>
    </w:p>
    <w:p>
      <w:pPr>
        <w:pStyle w:val="Heading1"/>
        <w:spacing w:after="160" w:before="360"/>
      </w:pPr>
      <w:r>
        <w:rPr>
          <w:rFonts w:ascii="Times New Roman" w:cs="Times New Roman" w:eastAsia="Times New Roman" w:hAnsi="Times New Roman"/>
          <w:b/>
          <w:bCs/>
          <w:sz w:val="28"/>
          <w:szCs w:val="28"/>
        </w:rPr>
        <w:t xml:space="preserve">7. Implications for the Lock-In Sequence</w:t>
      </w:r>
    </w:p>
    <w:p>
      <w:pPr>
        <w:spacing w:after="160" w:before="0" w:line="276" w:lineRule="auto"/>
        <w:jc w:val="both"/>
      </w:pPr>
      <w:r>
        <w:rPr>
          <w:rFonts w:ascii="Times New Roman" w:cs="Times New Roman" w:eastAsia="Times New Roman" w:hAnsi="Times New Roman"/>
          <w:sz w:val="24"/>
          <w:szCs w:val="24"/>
        </w:rPr>
        <w:t xml:space="preserve">The lock-in sequence (Author 2026a) identifies D₀ above θ=0.45 as generating an OR=6.46 for avoiding full lock-in and a 5.03× higher exit rate from the autocratic attractor. The present analysis adds mechanistic specificity to that finding by showing that D₀ is not merely an initial condition but a mechanism discriminator that determines which of four suppression pathways a system enters.</w:t>
      </w:r>
    </w:p>
    <w:p>
      <w:pPr>
        <w:spacing w:after="160" w:before="0" w:line="276" w:lineRule="auto"/>
        <w:jc w:val="both"/>
      </w:pPr>
      <w:r>
        <w:rPr>
          <w:rFonts w:ascii="Times New Roman" w:cs="Times New Roman" w:eastAsia="Times New Roman" w:hAnsi="Times New Roman"/>
          <w:sz w:val="24"/>
          <w:szCs w:val="24"/>
        </w:rPr>
        <w:t xml:space="preserve">The three-way classification emerging from this analysis — coercive systems (D₀&lt;θ, S&gt;0.65), hegemonic systems (D₀≥θ, S≤0.55), counter-hegemonic systems (D₀≥θ, S≤0.20) — resolves an ambiguity in the lock-in literature. Two systems with identical D₀=0.60 will follow radically different trajectories depending on their S and ΔA configurations. A system with D₀=0.60 and S=0.20 and A expanding through civil society institutions is on the counter-hegemonic pathway (British/Swiss/Norwegian type). The same D₀ with S=0.45 and A expanding through state administrative apparatus is on the hegemonic drift pathway (Weimar/Roman type). The predictive value of D₀ in the lock-in model is therefore conditional on the sovereignty-administrative configuration. Future work should incorporate interaction terms D₀×S and D₀×ΔA into the lock-in sequence predictive model.</w:t>
      </w:r>
    </w:p>
    <w:p>
      <w:pPr>
        <w:spacing w:after="160" w:before="0" w:line="276" w:lineRule="auto"/>
        <w:jc w:val="both"/>
      </w:pPr>
      <w:r>
        <w:rPr>
          <w:rFonts w:ascii="Times New Roman" w:cs="Times New Roman" w:eastAsia="Times New Roman" w:hAnsi="Times New Roman"/>
          <w:sz w:val="24"/>
          <w:szCs w:val="24"/>
        </w:rPr>
        <w:t xml:space="preserve">The Abbasid hegemonic inertia finding has direct implications for intervention theory. If removing a state's coercive apparatus is sufficient to allow D recovery in hegemonic systems, we should observe D recovery after the Buyid displacement of Abbasid military sovereignty in 945 CE. We do not: D continues declining for three more centuries. The hegemonic apparatus — juridical, educational, theological — is self-reproducing once mature. This implies that interventions targeting coercive capacity (demilitarisation, regime change, removal of security services) may be insufficient to restore D in societies where hegemonic normalisation is well-established. Restoring D in such systems requires its own counter-hegemonic project: building new educational institutions, civic organisations, and juridical norms that reproduce a culture of disobedience across generations, not merely the removal of force.</w:t>
      </w:r>
    </w:p>
    <w:p>
      <w:pPr>
        <w:pStyle w:val="Heading1"/>
        <w:spacing w:after="160" w:before="360"/>
      </w:pPr>
      <w:r>
        <w:rPr>
          <w:rFonts w:ascii="Times New Roman" w:cs="Times New Roman" w:eastAsia="Times New Roman" w:hAnsi="Times New Roman"/>
          <w:b/>
          <w:bCs/>
          <w:sz w:val="28"/>
          <w:szCs w:val="28"/>
        </w:rPr>
        <w:t xml:space="preserve">8. Limitations</w:t>
      </w:r>
    </w:p>
    <w:p>
      <w:pPr>
        <w:spacing w:after="160" w:before="0" w:line="276" w:lineRule="auto"/>
        <w:jc w:val="both"/>
      </w:pPr>
      <w:r>
        <w:rPr>
          <w:rFonts w:ascii="Times New Roman" w:cs="Times New Roman" w:eastAsia="Times New Roman" w:hAnsi="Times New Roman"/>
          <w:b/>
          <w:bCs/>
          <w:sz w:val="24"/>
          <w:szCs w:val="24"/>
        </w:rPr>
        <w:t xml:space="preserve">Circularity. </w:t>
      </w:r>
      <w:r>
        <w:rPr>
          <w:rFonts w:ascii="Times New Roman" w:cs="Times New Roman" w:eastAsia="Times New Roman" w:hAnsi="Times New Roman"/>
          <w:sz w:val="24"/>
          <w:szCs w:val="24"/>
        </w:rPr>
        <w:t xml:space="preserve">As reported in section 2.4, r(D-start, S)=−0.806 among falling systems means the H1 test partially reflects the S-based grouping criterion. The trajectory-type classification draws on mechanism evidence beyond S alone (hegemonic_mechanism field, administrative capacity codings, historiographic notes), but the structural co-occurrence of high S with low D-start remains a genuine constraint on the independence of the primary finding. The p=0.0135 result should be read as directional and consistent with the theory, not as fully independent confirmation.</w:t>
      </w:r>
    </w:p>
    <w:p>
      <w:pPr>
        <w:spacing w:after="160" w:before="0" w:line="276" w:lineRule="auto"/>
        <w:jc w:val="both"/>
      </w:pPr>
      <w:r>
        <w:rPr>
          <w:rFonts w:ascii="Times New Roman" w:cs="Times New Roman" w:eastAsia="Times New Roman" w:hAnsi="Times New Roman"/>
          <w:b/>
          <w:bCs/>
          <w:sz w:val="24"/>
          <w:szCs w:val="24"/>
        </w:rPr>
        <w:t xml:space="preserve">Data resolution. </w:t>
      </w:r>
      <w:r>
        <w:rPr>
          <w:rFonts w:ascii="Times New Roman" w:cs="Times New Roman" w:eastAsia="Times New Roman" w:hAnsi="Times New Roman"/>
          <w:sz w:val="24"/>
          <w:szCs w:val="24"/>
        </w:rPr>
        <w:t xml:space="preserve">Trajectory codings rely on historiographic evidence of uneven density. The Abbasid extension to 650 CE adds time points in a period (Rashidun–early Umayyad) with less administrative documentary record than the high Abbasid period; the extension is theoretically and historically defensible (continuity of the </w:t>
      </w:r>
      <w:r>
        <w:rPr>
          <w:rFonts w:ascii="Times New Roman" w:cs="Times New Roman" w:eastAsia="Times New Roman" w:hAnsi="Times New Roman"/>
          <w:i/>
          <w:iCs/>
          <w:sz w:val="24"/>
          <w:szCs w:val="24"/>
        </w:rPr>
        <w:t xml:space="preserve">dīwān</w:t>
      </w:r>
      <w:r>
        <w:rPr>
          <w:rFonts w:ascii="Times New Roman" w:cs="Times New Roman" w:eastAsia="Times New Roman" w:hAnsi="Times New Roman"/>
          <w:sz w:val="24"/>
          <w:szCs w:val="24"/>
        </w:rPr>
        <w:t xml:space="preserve"> system across the Rashidun–Umayyad–Abbasid transition) but carries higher coding uncertainty than the post-750 CE points. Individual-level correlation results for Habsburg (n=4 intervals) and Ottoman (n=3 intervals) are reported for completeness but not used as the basis for mechanistic inference; the pooled Spearman result (n=79) is robust to the exclusion of these small-n contributors.</w:t>
      </w:r>
    </w:p>
    <w:p>
      <w:pPr>
        <w:spacing w:after="160" w:before="0" w:line="276" w:lineRule="auto"/>
        <w:jc w:val="both"/>
      </w:pPr>
      <w:r>
        <w:rPr>
          <w:rFonts w:ascii="Times New Roman" w:cs="Times New Roman" w:eastAsia="Times New Roman" w:hAnsi="Times New Roman"/>
          <w:b/>
          <w:bCs/>
          <w:sz w:val="24"/>
          <w:szCs w:val="24"/>
        </w:rPr>
        <w:t xml:space="preserve">Single A variable. </w:t>
      </w:r>
      <w:r>
        <w:rPr>
          <w:rFonts w:ascii="Times New Roman" w:cs="Times New Roman" w:eastAsia="Times New Roman" w:hAnsi="Times New Roman"/>
          <w:sz w:val="24"/>
          <w:szCs w:val="24"/>
        </w:rPr>
        <w:t xml:space="preserve">The A-trajectory codings conflate repressive administrative capacity (secret police, surveillance apparatus) with normalising administrative capacity (educational institutions, bureaucratic registration). This is explicit in the Soviet case (section 6.4) but potentially present in other systems. A partial robustness check using the static info_infrastructure field as a proxy for the normalising component finds that the ratio II/A_static (normalising fraction) correlates with the within-system sign of r(ΔA,ΔD): r=+0.747, p=0.021 (n=9); excluding the Ottoman joint-collapse case: r=+0.921, p=0.001 (n=8). Systems where info_infrastructure exceeds admin_index by more than 7% show positive r(ΔA,ΔD), consistent with counter-hegemonic A expansion; systems with a repressive surplus (II/A&lt;0.96) show strongly negative r. A refined sign classifier — II/A&gt;1.07 and S&lt;0.65 predicting r&gt;0 — correctly classifies eight of nine systems, with the Ottoman the single exception for reasons already established (joint collapse). The sign classifier is therefore robust to the single-A limitation: the ratio of normalising to total administrative capacity encodes which component dominates, and this information is available in the static info_infrastructure field. The cross-sectional evidence is weaker (partial r(norm_frac, D | A_static)=+0.096, p=0.056) and the within-system n=9 precludes definitive inference, so decomposing A into formal repressive and normalising sub-indices remains a priority for future data development. Full robustness analysis is in src/a_decomposition.py.</w:t>
      </w:r>
    </w:p>
    <w:p>
      <w:pPr>
        <w:spacing w:after="160" w:before="0" w:line="276" w:lineRule="auto"/>
        <w:jc w:val="both"/>
      </w:pPr>
      <w:r>
        <w:rPr>
          <w:rFonts w:ascii="Times New Roman" w:cs="Times New Roman" w:eastAsia="Times New Roman" w:hAnsi="Times New Roman"/>
          <w:b/>
          <w:bCs/>
          <w:sz w:val="24"/>
          <w:szCs w:val="24"/>
        </w:rPr>
        <w:t xml:space="preserve">Sample size. </w:t>
      </w:r>
      <w:r>
        <w:rPr>
          <w:rFonts w:ascii="Times New Roman" w:cs="Times New Roman" w:eastAsia="Times New Roman" w:hAnsi="Times New Roman"/>
          <w:sz w:val="24"/>
          <w:szCs w:val="24"/>
        </w:rPr>
        <w:t xml:space="preserve">The A-trajectory subsample contains nine systems. The Fisher exact test and Mann-Whitney results are statistically significant at conventional thresholds, but both tests have small n and the counter-hegemonic cluster (n=3 rising systems) in particular represents a narrow evidential base for the H3 claim. Extending time-varying A codings to additional systems — particularly outside the European and East Asian clusters currently over-represented in the trajectory subsample — would substantially strengthen the comparative analysis.</w:t>
      </w:r>
    </w:p>
    <w:p>
      <w:pPr>
        <w:pStyle w:val="Heading1"/>
        <w:spacing w:after="160" w:before="360"/>
      </w:pPr>
      <w:r>
        <w:rPr>
          <w:rFonts w:ascii="Times New Roman" w:cs="Times New Roman" w:eastAsia="Times New Roman" w:hAnsi="Times New Roman"/>
          <w:b/>
          <w:bCs/>
          <w:sz w:val="28"/>
          <w:szCs w:val="28"/>
        </w:rPr>
        <w:t xml:space="preserve">9. Conclusion</w:t>
      </w:r>
    </w:p>
    <w:p>
      <w:pPr>
        <w:spacing w:after="160" w:before="0" w:line="276" w:lineRule="auto"/>
        <w:jc w:val="both"/>
      </w:pPr>
      <w:r>
        <w:rPr>
          <w:rFonts w:ascii="Times New Roman" w:cs="Times New Roman" w:eastAsia="Times New Roman" w:hAnsi="Times New Roman"/>
          <w:sz w:val="24"/>
          <w:szCs w:val="24"/>
        </w:rPr>
        <w:t xml:space="preserve">This paper has disaggregated the suppression of disobedience freedom across 30 governance systems spanning 2,600 years, identifying four empirically distinct mechanisms — hegemonic drift, coercive maintenance, counter-hegemony, and joint administrative collapse — and providing converging quantitative evidence for their differentiation.</w:t>
      </w:r>
    </w:p>
    <w:p>
      <w:pPr>
        <w:spacing w:after="160" w:before="0" w:line="276" w:lineRule="auto"/>
        <w:jc w:val="both"/>
      </w:pPr>
      <w:r>
        <w:rPr>
          <w:rFonts w:ascii="Times New Roman" w:cs="Times New Roman" w:eastAsia="Times New Roman" w:hAnsi="Times New Roman"/>
          <w:sz w:val="24"/>
          <w:szCs w:val="24"/>
        </w:rPr>
        <w:t xml:space="preserve">Three primary findings support the theoretical framework. First, hegemonic systems begin with significantly higher D than coercive systems (MW p=0.0135, D-start gap=0.200), consistent with the Gramscian claim that hegemony normalises prior freedom rather than maintaining pre-existing suppression. Second, within-system rate-normalised A expansion predicts D decline both contemporaneously (pooled Spearman r=−0.326, p=0.003; Roman Republic r=−0.888, p=0.008; Abbasid r=−0.869, p=0.002; Soviet r=−0.980, p&lt;0.001) and with a one-period lag in systems with the clearest hegemonic sequencing (Meiji lag-1 r=−0.816, p=0.025; Abbasid lag-1 r=−0.865, p=0.006), providing temporal evidence for the administrative vehicle of normalisation. Third, counter-hegemonic D recovery is structurally confined to low-S systems (Fisher p=0.030), confirming that institutionalising disobedience requires political space the state cannot simply eliminate.</w:t>
      </w:r>
    </w:p>
    <w:p>
      <w:pPr>
        <w:spacing w:after="160" w:before="0" w:line="276" w:lineRule="auto"/>
        <w:jc w:val="both"/>
      </w:pPr>
      <w:r>
        <w:rPr>
          <w:rFonts w:ascii="Times New Roman" w:cs="Times New Roman" w:eastAsia="Times New Roman" w:hAnsi="Times New Roman"/>
          <w:sz w:val="24"/>
          <w:szCs w:val="24"/>
        </w:rPr>
        <w:t xml:space="preserve">The sign of r(ΔA,ΔD) — negative for hegemonic suppression, positive for counter-hegemony and joint collapse — is proposed as a practical, non-circular mechanism classifier. It requires only matched A and D time series, makes no assumptions about S or trajectory type, and produces theoretically interpretable results across all five mechanism types documented here.</w:t>
      </w:r>
    </w:p>
    <w:p>
      <w:pPr>
        <w:spacing w:after="160" w:before="0" w:line="276" w:lineRule="auto"/>
        <w:jc w:val="both"/>
      </w:pPr>
      <w:r>
        <w:rPr>
          <w:rFonts w:ascii="Times New Roman" w:cs="Times New Roman" w:eastAsia="Times New Roman" w:hAnsi="Times New Roman"/>
          <w:sz w:val="24"/>
          <w:szCs w:val="24"/>
        </w:rPr>
        <w:t xml:space="preserve">The five case studies deepen the taxonomy in ways the aggregate statistics cannot. The Roman passive revolution shows synchronous A-D coupling, consistent with reform and suppression as the same political act. The Abbasid hegemonic inertia demonstrates that normalisation outlasts by centuries the coercive capacity that established it — with direct implications for intervention theory. The Tokugawa stable-low distinguishes Foucauldian compliance-from-the-outset from Gramscian drift-from-prior-freedom. The Soviet arc shows the limits of a single A variable in systems where repressive and normalising administrative capacity are both active. And the Ottoman joint collapse documents a fourth mechanism type — co-terminal decay of A and D under imperial overextension — that is neither hegemonic nor coercive and implies a distinct restoration logic.</w:t>
      </w:r>
    </w:p>
    <w:p>
      <w:pPr>
        <w:spacing w:after="160" w:before="0" w:line="276" w:lineRule="auto"/>
        <w:jc w:val="both"/>
      </w:pPr>
      <w:r>
        <w:rPr>
          <w:rFonts w:ascii="Times New Roman" w:cs="Times New Roman" w:eastAsia="Times New Roman" w:hAnsi="Times New Roman"/>
          <w:sz w:val="24"/>
          <w:szCs w:val="24"/>
        </w:rPr>
        <w:t xml:space="preserve">These findings extend the lock-in sequence framework by showing that D₀ is a mechanism discriminator, not merely an initial condition. The counter-hegemonic pathway requires both D₀&gt;θ and S≤0.20; the hegemonic drift pathway requires D₀≥θ but permits S up to 0.55; the coercive pathway operates regardless of D₀ when S&gt;0.65. Incorporating these joint conditions into predictive models of lock-in exit is the natural next step.</w:t>
      </w:r>
    </w:p>
    <w:p>
      <w:pPr>
        <w:pStyle w:val="Heading1"/>
        <w:spacing w:after="160" w:before="360"/>
      </w:pPr>
      <w:r>
        <w:rPr>
          <w:rFonts w:ascii="Times New Roman" w:cs="Times New Roman" w:eastAsia="Times New Roman" w:hAnsi="Times New Roman"/>
          <w:b/>
          <w:bCs/>
          <w:sz w:val="28"/>
          <w:szCs w:val="28"/>
        </w:rPr>
        <w:t xml:space="preserve">Figure</w:t>
      </w:r>
    </w:p>
    <w:p>
      <w:pPr>
        <w:spacing w:after="80" w:before="0"/>
      </w:pPr>
      <w:r>
        <w:rPr>
          <w:rFonts w:ascii="Times New Roman" w:cs="Times New Roman" w:eastAsia="Times New Roman" w:hAnsi="Times New Roman"/>
          <w:sz w:val="24"/>
          <w:szCs w:val="24"/>
        </w:rPr>
        <w:t xml:space="preserve"/>
      </w:r>
    </w:p>
    <w:p>
      <w:pPr>
        <w:spacing w:after="80" w:before="160"/>
        <w:jc w:val="center"/>
      </w:pPr>
      <w:r>
        <w:drawing>
          <wp:inline distT="0" distB="0" distL="0" distR="0">
            <wp:extent cx="59436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371975"/>
                    </a:xfrm>
                    <a:prstGeom prst="rect">
                      <a:avLst/>
                    </a:prstGeom>
                  </pic:spPr>
                </pic:pic>
              </a:graphicData>
            </a:graphic>
          </wp:inline>
        </w:drawing>
      </w:r>
    </w:p>
    <w:p>
      <w:pPr>
        <w:spacing w:after="80" w:before="0"/>
      </w:pPr>
      <w:r>
        <w:rPr>
          <w:rFonts w:ascii="Times New Roman" w:cs="Times New Roman" w:eastAsia="Times New Roman" w:hAnsi="Times New Roman"/>
          <w:sz w:val="24"/>
          <w:szCs w:val="24"/>
        </w:rPr>
        <w:t xml:space="preserve"/>
      </w:r>
    </w:p>
    <w:p>
      <w:pPr>
        <w:spacing w:after="160" w:before="0" w:line="276" w:lineRule="auto"/>
        <w:jc w:val="both"/>
      </w:pPr>
      <w:r>
        <w:rPr>
          <w:rFonts w:ascii="Times New Roman" w:cs="Times New Roman" w:eastAsia="Times New Roman" w:hAnsi="Times New Roman"/>
          <w:i/>
          <w:iCs/>
          <w:sz w:val="24"/>
          <w:szCs w:val="24"/>
        </w:rPr>
        <w:t xml:space="preserve">Figure 1. </w:t>
      </w:r>
      <w:r>
        <w:rPr>
          <w:rFonts w:ascii="Times New Roman" w:cs="Times New Roman" w:eastAsia="Times New Roman" w:hAnsi="Times New Roman"/>
          <w:sz w:val="24"/>
          <w:szCs w:val="24"/>
        </w:rPr>
        <w:t xml:space="preserve">Hegemonic drift analysis: D-trajectory coding across 30 governance systems, distinguishing coercive suppression (high S) from hegemonic normalisation (high A, moderate S). Panel A: D-trajectories across all 30 systems, coloured by hegemonic mechanism; dashed red line at θ=0.45. Panel B: Hegemony index (|ΔD|/S) by mechanism; Icelandic Commonwealth HI=3.18 off scale. Panel C: Absolute D change (|ΔD|) vs. sovereignty index (S) for all 30 systems; ▼=falling D, ▲=rising D; shaded regions indicate hegemonic drift zone (low S) and coercive zone (high S). Panel D: D-trajectories for five post-1000 CE case-study systems with key historical events annotated. Figure generated by hegemonic_drift.py v3; source data: [repository blinded].</w:t>
      </w:r>
    </w:p>
    <w:p>
      <w:pPr>
        <w:pStyle w:val="Heading1"/>
        <w:spacing w:after="160" w:before="360"/>
      </w:pPr>
      <w:r>
        <w:rPr>
          <w:rFonts w:ascii="Times New Roman" w:cs="Times New Roman" w:eastAsia="Times New Roman" w:hAnsi="Times New Roman"/>
          <w:b/>
          <w:bCs/>
          <w:sz w:val="28"/>
          <w:szCs w:val="28"/>
        </w:rPr>
        <w:t xml:space="preserve">References</w:t>
      </w:r>
    </w:p>
    <w:p>
      <w:pPr>
        <w:spacing w:after="100" w:before="0" w:line="264" w:lineRule="auto"/>
        <w:ind w:left="720" w:hanging="720"/>
      </w:pPr>
      <w:r>
        <w:rPr>
          <w:rFonts w:ascii="Times New Roman" w:cs="Times New Roman" w:eastAsia="Times New Roman" w:hAnsi="Times New Roman"/>
          <w:sz w:val="24"/>
          <w:szCs w:val="24"/>
        </w:rPr>
        <w:t xml:space="preserve">Author (2026a). [Paper 1 — blinded for review]. Journal of World-Systems Research.</w:t>
      </w:r>
    </w:p>
    <w:p>
      <w:pPr>
        <w:spacing w:after="100" w:before="0" w:line="264" w:lineRule="auto"/>
        <w:ind w:left="720" w:hanging="720"/>
      </w:pPr>
      <w:r>
        <w:rPr>
          <w:rFonts w:ascii="Times New Roman" w:cs="Times New Roman" w:eastAsia="Times New Roman" w:hAnsi="Times New Roman"/>
          <w:sz w:val="24"/>
          <w:szCs w:val="24"/>
        </w:rPr>
        <w:t xml:space="preserve">Author (2026b). [Paper 2 — blinded for review]. [Journal — blinded].</w:t>
      </w:r>
    </w:p>
    <w:p>
      <w:pPr>
        <w:spacing w:after="100" w:before="0" w:line="264" w:lineRule="auto"/>
        <w:ind w:left="720" w:hanging="720"/>
      </w:pPr>
      <w:r>
        <w:rPr>
          <w:rFonts w:ascii="Times New Roman" w:cs="Times New Roman" w:eastAsia="Times New Roman" w:hAnsi="Times New Roman"/>
          <w:sz w:val="24"/>
          <w:szCs w:val="24"/>
        </w:rPr>
        <w:t xml:space="preserve">Author (2026c). [Paper 4 — blinded for review]. [Journal — blinded].</w:t>
      </w:r>
    </w:p>
    <w:p>
      <w:pPr>
        <w:spacing w:after="100" w:before="0" w:line="264" w:lineRule="auto"/>
        <w:ind w:left="720" w:hanging="720"/>
      </w:pPr>
      <w:r>
        <w:rPr>
          <w:rFonts w:ascii="Times New Roman" w:cs="Times New Roman" w:eastAsia="Times New Roman" w:hAnsi="Times New Roman"/>
          <w:sz w:val="24"/>
          <w:szCs w:val="24"/>
        </w:rPr>
        <w:t xml:space="preserve">Author (2026d). [Cliodynamics integrated paper — blinded for review]. Cliodynamics.</w:t>
      </w:r>
    </w:p>
    <w:p>
      <w:pPr>
        <w:spacing w:after="100" w:before="0" w:line="264" w:lineRule="auto"/>
        <w:ind w:left="720" w:hanging="720"/>
      </w:pPr>
      <w:r>
        <w:rPr>
          <w:rFonts w:ascii="Times New Roman" w:cs="Times New Roman" w:eastAsia="Times New Roman" w:hAnsi="Times New Roman"/>
          <w:sz w:val="24"/>
          <w:szCs w:val="24"/>
        </w:rPr>
        <w:t xml:space="preserve">Bateson, G. (1935). Culture contact and schismogenesis. Man, 35, 178–183.</w:t>
      </w:r>
    </w:p>
    <w:p>
      <w:pPr>
        <w:spacing w:after="100" w:before="0" w:line="264" w:lineRule="auto"/>
        <w:ind w:left="720" w:hanging="720"/>
      </w:pPr>
      <w:r>
        <w:rPr>
          <w:rFonts w:ascii="Times New Roman" w:cs="Times New Roman" w:eastAsia="Times New Roman" w:hAnsi="Times New Roman"/>
          <w:sz w:val="24"/>
          <w:szCs w:val="24"/>
        </w:rPr>
        <w:t xml:space="preserve">Bateson, G. (1972). Steps to an Ecology of Mind. Chandler Publishing.</w:t>
      </w:r>
    </w:p>
    <w:p>
      <w:pPr>
        <w:spacing w:after="100" w:before="0" w:line="264" w:lineRule="auto"/>
        <w:ind w:left="720" w:hanging="720"/>
      </w:pPr>
      <w:r>
        <w:rPr>
          <w:rFonts w:ascii="Times New Roman" w:cs="Times New Roman" w:eastAsia="Times New Roman" w:hAnsi="Times New Roman"/>
          <w:sz w:val="24"/>
          <w:szCs w:val="24"/>
        </w:rPr>
        <w:t xml:space="preserve">Foucault, M. (1977). Discipline and Punish: The Birth of the Prison. Pantheon Books.</w:t>
      </w:r>
    </w:p>
    <w:p>
      <w:pPr>
        <w:spacing w:after="100" w:before="0" w:line="264" w:lineRule="auto"/>
        <w:ind w:left="720" w:hanging="720"/>
      </w:pPr>
      <w:r>
        <w:rPr>
          <w:rFonts w:ascii="Times New Roman" w:cs="Times New Roman" w:eastAsia="Times New Roman" w:hAnsi="Times New Roman"/>
          <w:sz w:val="24"/>
          <w:szCs w:val="24"/>
        </w:rPr>
        <w:t xml:space="preserve">Gramsci, A. (1971). Selections from the Prison Notebooks (Q. Hoare &amp; G. Nowell-Smith, Trans.). Lawrence &amp; Wishart. [Q15§59; Q19§24 — passive revolution. Q13§18 — hegemony and civil society.]</w:t>
      </w:r>
    </w:p>
    <w:p>
      <w:pPr>
        <w:spacing w:after="100" w:before="0" w:line="264" w:lineRule="auto"/>
        <w:ind w:left="720" w:hanging="720"/>
      </w:pPr>
      <w:r>
        <w:rPr>
          <w:rFonts w:ascii="Times New Roman" w:cs="Times New Roman" w:eastAsia="Times New Roman" w:hAnsi="Times New Roman"/>
          <w:sz w:val="24"/>
          <w:szCs w:val="24"/>
        </w:rPr>
        <w:t xml:space="preserve">Kennedy, H. (2004). The Court of the Caliphs. Weidenfeld &amp; Nicolson.</w:t>
      </w:r>
    </w:p>
    <w:p>
      <w:pPr>
        <w:spacing w:after="100" w:before="0" w:line="264" w:lineRule="auto"/>
        <w:ind w:left="720" w:hanging="720"/>
      </w:pPr>
      <w:r>
        <w:rPr>
          <w:rFonts w:ascii="Times New Roman" w:cs="Times New Roman" w:eastAsia="Times New Roman" w:hAnsi="Times New Roman"/>
          <w:sz w:val="24"/>
          <w:szCs w:val="24"/>
        </w:rPr>
        <w:t xml:space="preserve">Makdisi, G. (1981). The Rise of Colleges: Institutions of Learning in Islam and the West. Edinburgh University Press.</w:t>
      </w:r>
    </w:p>
    <w:p>
      <w:pPr>
        <w:spacing w:after="100" w:before="0" w:line="264" w:lineRule="auto"/>
        <w:ind w:left="720" w:hanging="720"/>
      </w:pPr>
      <w:r>
        <w:rPr>
          <w:rFonts w:ascii="Times New Roman" w:cs="Times New Roman" w:eastAsia="Times New Roman" w:hAnsi="Times New Roman"/>
          <w:sz w:val="24"/>
          <w:szCs w:val="24"/>
        </w:rPr>
        <w:t xml:space="preserve">Mardin, Ş. (1962). The Genesis of Young Ottoman Thought. Princeton University Press.</w:t>
      </w:r>
    </w:p>
    <w:p>
      <w:pPr>
        <w:spacing w:after="100" w:before="0" w:line="264" w:lineRule="auto"/>
        <w:ind w:left="720" w:hanging="720"/>
      </w:pPr>
      <w:r>
        <w:rPr>
          <w:rFonts w:ascii="Times New Roman" w:cs="Times New Roman" w:eastAsia="Times New Roman" w:hAnsi="Times New Roman"/>
          <w:sz w:val="24"/>
          <w:szCs w:val="24"/>
        </w:rPr>
        <w:t xml:space="preserve">Morony, M. G. (1984). Iraq after the Muslim Conquest. Princeton University Press.</w:t>
      </w:r>
    </w:p>
    <w:p>
      <w:pPr>
        <w:spacing w:after="100" w:before="0" w:line="264" w:lineRule="auto"/>
        <w:ind w:left="720" w:hanging="720"/>
      </w:pPr>
      <w:r>
        <w:rPr>
          <w:rFonts w:ascii="Times New Roman" w:cs="Times New Roman" w:eastAsia="Times New Roman" w:hAnsi="Times New Roman"/>
          <w:sz w:val="24"/>
          <w:szCs w:val="24"/>
        </w:rPr>
        <w:t xml:space="preserve">Totman, C. (1993). Early Modern Japan. University of California Press.</w:t>
      </w:r>
    </w:p>
    <w:p>
      <w:pPr>
        <w:spacing w:after="100" w:before="0" w:line="264" w:lineRule="auto"/>
        <w:ind w:left="720" w:hanging="720"/>
      </w:pPr>
      <w:r>
        <w:rPr>
          <w:rFonts w:ascii="Times New Roman" w:cs="Times New Roman" w:eastAsia="Times New Roman" w:hAnsi="Times New Roman"/>
          <w:sz w:val="24"/>
          <w:szCs w:val="24"/>
        </w:rPr>
        <w:t xml:space="preserve">Wickham, C. (2009). The Inheritance of Rome: A History of Europe from 400 to 1000. Viking.</w:t>
      </w:r>
    </w:p>
    <w:p>
      <w:pPr>
        <w:spacing w:after="100" w:before="0" w:line="264" w:lineRule="auto"/>
        <w:ind w:left="720" w:hanging="720"/>
      </w:pPr>
      <w:r>
        <w:rPr>
          <w:rFonts w:ascii="Times New Roman" w:cs="Times New Roman" w:eastAsia="Times New Roman" w:hAnsi="Times New Roman"/>
          <w:sz w:val="24"/>
          <w:szCs w:val="24"/>
        </w:rPr>
        <w:t xml:space="preserve">Zakaria, F. (1997). The rise of illiberal democracy. Foreign Affairs, 76(6), 22–43.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18"/>
        <w:szCs w:val="18"/>
      </w:rPr>
      <w:t xml:space="preserve">[Author blinded] — Hegemonic Drift and Counter-Hegemony — p.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f72beab9846d78ae16f58aafe750264813feb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2026-06-09T12:45:46.658Z</dcterms:created>
  <dcterms:modified xsi:type="dcterms:W3CDTF">2026-06-09T12:45:46.671Z</dcterms:modified>
</cp:coreProperties>
</file>

<file path=docProps/custom.xml><?xml version="1.0" encoding="utf-8"?>
<Properties xmlns="http://schemas.openxmlformats.org/officeDocument/2006/custom-properties" xmlns:vt="http://schemas.openxmlformats.org/officeDocument/2006/docPropsVTypes"/>
</file>