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Antigravity Study Platform</w:t>
      </w:r>
    </w:p>
    <w:p>
      <w:pPr>
        <w:spacing w:after="240"/>
      </w:pPr>
      <w:r>
        <w:rPr>
          <w:color w:val="485466"/>
          <w:sz w:val="24"/>
        </w:rPr>
        <w:t>Technical Design Document for the First Release</w:t>
      </w:r>
    </w:p>
    <w:tbl>
      <w:tblPr>
        <w:tblW w:type="auto" w:w="0"/>
        <w:jc w:val="center"/>
        <w:tblLayout w:type="fixed"/>
        <w:tblLook w:firstColumn="1" w:firstRow="1" w:lastColumn="0" w:lastRow="0" w:noHBand="0" w:noVBand="1" w:val="04A0"/>
        <w:tblBorders>
          <w:top w:val="single" w:sz="5" w:space="0" w:color="D9DDE3"/>
          <w:left w:val="single" w:sz="5" w:space="0" w:color="D9DDE3"/>
          <w:bottom w:val="single" w:sz="5" w:space="0" w:color="D9DDE3"/>
          <w:right w:val="single" w:sz="5" w:space="0" w:color="D9DDE3"/>
          <w:insideH w:val="single" w:sz="5" w:space="0" w:color="D9DDE3"/>
          <w:insideV w:val="single" w:sz="5" w:space="0" w:color="D9DDE3"/>
        </w:tblBorders>
      </w:tblPr>
      <w:tblGrid>
        <w:gridCol w:w="4831"/>
        <w:gridCol w:w="4831"/>
      </w:tblGrid>
      <w:tr>
        <w:trPr>
          <w:tblHeader w:val="true"/>
        </w:trPr>
        <w:tc>
          <w:tcPr>
            <w:tcW w:type="dxa" w:w="2232"/>
            <w:vAlign w:val="center"/>
            <w:shd w:fill="253A5B"/>
            <w:tcMar>
              <w:top w:w="90" w:type="dxa"/>
              <w:start w:w="105" w:type="dxa"/>
              <w:bottom w:w="90" w:type="dxa"/>
              <w:end w:w="105" w:type="dxa"/>
            </w:tcMar>
          </w:tcPr>
          <w:p>
            <w:pPr>
              <w:spacing w:after="0"/>
            </w:pPr>
            <w:r>
              <w:rPr>
                <w:rFonts w:ascii="Calibri" w:hAnsi="Calibri"/>
                <w:b/>
                <w:color w:val="FFFFFF"/>
                <w:sz w:val="18"/>
              </w:rPr>
              <w:t>Document field</w:t>
            </w:r>
          </w:p>
        </w:tc>
        <w:tc>
          <w:tcPr>
            <w:tcW w:type="dxa" w:w="7416"/>
            <w:vAlign w:val="center"/>
            <w:shd w:fill="253A5B"/>
            <w:tcMar>
              <w:top w:w="90" w:type="dxa"/>
              <w:start w:w="105" w:type="dxa"/>
              <w:bottom w:w="90" w:type="dxa"/>
              <w:end w:w="105" w:type="dxa"/>
            </w:tcMar>
          </w:tcPr>
          <w:p>
            <w:pPr>
              <w:spacing w:after="0"/>
            </w:pPr>
            <w:r>
              <w:rPr>
                <w:rFonts w:ascii="Calibri" w:hAnsi="Calibri"/>
                <w:b/>
                <w:color w:val="FFFFFF"/>
                <w:sz w:val="18"/>
              </w:rPr>
              <w:t>Value</w:t>
            </w:r>
          </w:p>
        </w:tc>
      </w:tr>
      <w:tr>
        <w:trPr>
          <w:cantSplit/>
        </w:trPr>
        <w:tc>
          <w:tcPr>
            <w:tcW w:type="dxa" w:w="2232"/>
            <w:vAlign w:val="center"/>
            <w:tcMar>
              <w:top w:w="90" w:type="dxa"/>
              <w:start w:w="105" w:type="dxa"/>
              <w:bottom w:w="90" w:type="dxa"/>
              <w:end w:w="105" w:type="dxa"/>
            </w:tcMar>
          </w:tcPr>
          <w:p>
            <w:pPr>
              <w:spacing w:after="0" w:line="252" w:lineRule="auto"/>
            </w:pPr>
            <w:r>
              <w:rPr>
                <w:rFonts w:ascii="Calibri" w:hAnsi="Calibri"/>
                <w:color w:val="222222"/>
                <w:sz w:val="18"/>
              </w:rPr>
              <w:t>Owner</w:t>
            </w:r>
          </w:p>
        </w:tc>
        <w:tc>
          <w:tcPr>
            <w:tcW w:type="dxa" w:w="7416"/>
            <w:vAlign w:val="center"/>
            <w:tcMar>
              <w:top w:w="90" w:type="dxa"/>
              <w:start w:w="105" w:type="dxa"/>
              <w:bottom w:w="90" w:type="dxa"/>
              <w:end w:w="105" w:type="dxa"/>
            </w:tcMar>
          </w:tcPr>
          <w:p>
            <w:pPr>
              <w:spacing w:after="0" w:line="252" w:lineRule="auto"/>
            </w:pPr>
            <w:r>
              <w:rPr>
                <w:rFonts w:ascii="Calibri" w:hAnsi="Calibri"/>
                <w:color w:val="222222"/>
                <w:sz w:val="18"/>
              </w:rPr>
              <w:t>Surya Pratap Singh Rawat</w:t>
            </w:r>
          </w:p>
        </w:tc>
      </w:tr>
      <w:tr>
        <w:trPr>
          <w:cantSplit/>
        </w:trPr>
        <w:tc>
          <w:tcPr>
            <w:tcW w:type="dxa" w:w="2232"/>
            <w:vAlign w:val="center"/>
            <w:tcMar>
              <w:top w:w="90" w:type="dxa"/>
              <w:start w:w="105" w:type="dxa"/>
              <w:bottom w:w="90" w:type="dxa"/>
              <w:end w:w="105" w:type="dxa"/>
            </w:tcMar>
            <w:shd w:fill="F3F6F9"/>
          </w:tcPr>
          <w:p>
            <w:pPr>
              <w:spacing w:after="0" w:line="252" w:lineRule="auto"/>
            </w:pPr>
            <w:r>
              <w:rPr>
                <w:rFonts w:ascii="Calibri" w:hAnsi="Calibri"/>
                <w:color w:val="222222"/>
                <w:sz w:val="18"/>
              </w:rPr>
              <w:t>Version and date</w:t>
            </w:r>
          </w:p>
        </w:tc>
        <w:tc>
          <w:tcPr>
            <w:tcW w:type="dxa" w:w="7416"/>
            <w:vAlign w:val="center"/>
            <w:tcMar>
              <w:top w:w="90" w:type="dxa"/>
              <w:start w:w="105" w:type="dxa"/>
              <w:bottom w:w="90" w:type="dxa"/>
              <w:end w:w="105" w:type="dxa"/>
            </w:tcMar>
            <w:shd w:fill="F3F6F9"/>
          </w:tcPr>
          <w:p>
            <w:pPr>
              <w:spacing w:after="0" w:line="252" w:lineRule="auto"/>
            </w:pPr>
            <w:r>
              <w:rPr>
                <w:rFonts w:ascii="Calibri" w:hAnsi="Calibri"/>
                <w:color w:val="222222"/>
                <w:sz w:val="18"/>
              </w:rPr>
              <w:t>1.1 | October 7, 2026</w:t>
            </w:r>
          </w:p>
        </w:tc>
      </w:tr>
      <w:tr>
        <w:trPr>
          <w:cantSplit/>
        </w:trPr>
        <w:tc>
          <w:tcPr>
            <w:tcW w:type="dxa" w:w="2232"/>
            <w:vAlign w:val="center"/>
            <w:tcMar>
              <w:top w:w="90" w:type="dxa"/>
              <w:start w:w="105" w:type="dxa"/>
              <w:bottom w:w="90" w:type="dxa"/>
              <w:end w:w="105" w:type="dxa"/>
            </w:tcMar>
          </w:tcPr>
          <w:p>
            <w:pPr>
              <w:spacing w:after="0" w:line="252" w:lineRule="auto"/>
            </w:pPr>
            <w:r>
              <w:rPr>
                <w:rFonts w:ascii="Calibri" w:hAnsi="Calibri"/>
                <w:color w:val="222222"/>
                <w:sz w:val="18"/>
              </w:rPr>
              <w:t>Status</w:t>
            </w:r>
          </w:p>
        </w:tc>
        <w:tc>
          <w:tcPr>
            <w:tcW w:type="dxa" w:w="7416"/>
            <w:vAlign w:val="center"/>
            <w:tcMar>
              <w:top w:w="90" w:type="dxa"/>
              <w:start w:w="105" w:type="dxa"/>
              <w:bottom w:w="90" w:type="dxa"/>
              <w:end w:w="105" w:type="dxa"/>
            </w:tcMar>
          </w:tcPr>
          <w:p>
            <w:pPr>
              <w:spacing w:after="0" w:line="252" w:lineRule="auto"/>
            </w:pPr>
            <w:r>
              <w:rPr>
                <w:rFonts w:ascii="Calibri" w:hAnsi="Calibri"/>
                <w:color w:val="222222"/>
                <w:sz w:val="18"/>
              </w:rPr>
              <w:t>MVP implementation baseline; production launch gates are listed in this document</w:t>
            </w:r>
          </w:p>
        </w:tc>
      </w:tr>
      <w:tr>
        <w:trPr>
          <w:cantSplit/>
        </w:trPr>
        <w:tc>
          <w:tcPr>
            <w:tcW w:type="dxa" w:w="2232"/>
            <w:vAlign w:val="center"/>
            <w:tcMar>
              <w:top w:w="90" w:type="dxa"/>
              <w:start w:w="105" w:type="dxa"/>
              <w:bottom w:w="90" w:type="dxa"/>
              <w:end w:w="105" w:type="dxa"/>
            </w:tcMar>
            <w:shd w:fill="F3F6F9"/>
          </w:tcPr>
          <w:p>
            <w:pPr>
              <w:spacing w:after="0" w:line="252" w:lineRule="auto"/>
            </w:pPr>
            <w:r>
              <w:rPr>
                <w:rFonts w:ascii="Calibri" w:hAnsi="Calibri"/>
                <w:color w:val="222222"/>
                <w:sz w:val="18"/>
              </w:rPr>
              <w:t>Audience</w:t>
            </w:r>
          </w:p>
        </w:tc>
        <w:tc>
          <w:tcPr>
            <w:tcW w:type="dxa" w:w="7416"/>
            <w:vAlign w:val="center"/>
            <w:tcMar>
              <w:top w:w="90" w:type="dxa"/>
              <w:start w:w="105" w:type="dxa"/>
              <w:bottom w:w="90" w:type="dxa"/>
              <w:end w:w="105" w:type="dxa"/>
            </w:tcMar>
            <w:shd w:fill="F3F6F9"/>
          </w:tcPr>
          <w:p>
            <w:pPr>
              <w:spacing w:after="0" w:line="252" w:lineRule="auto"/>
            </w:pPr>
            <w:r>
              <w:rPr>
                <w:rFonts w:ascii="Calibri" w:hAnsi="Calibri"/>
                <w:color w:val="222222"/>
                <w:sz w:val="18"/>
              </w:rPr>
              <w:t>Antigravity coding agent and project owner</w:t>
            </w:r>
          </w:p>
        </w:tc>
      </w:tr>
    </w:tbl>
    <w:p/>
    <w:p>
      <w:pPr>
        <w:pStyle w:val="Heading1"/>
        <w:keepNext/>
      </w:pPr>
      <w:r>
        <w:t>Executive Summary</w:t>
      </w:r>
    </w:p>
    <w:p>
      <w:r>
        <w:t>Build a private study platform for Scaler School of Technology students. Students sign in with an approved Google Workspace account, read structured course notes, search the approved note catalogue, and keep personal bookmarks. Notes are deployed as static JSON files through Vercel and protected on every request before the CDN cache. FastAPI handles identity and bookmark operations. MongoDB stores minimum user, session, and bookmark data; Upstash Redis supplies shared rate-limit state for serverless API instances.</w:t>
      </w:r>
    </w:p>
    <w:p>
      <w:r>
        <w:t>Antigravity is the coding environment and agent that will build this application. It is not a runtime service. The Gemini-based note-generation workflow is a separate administrator process and is outside the student-facing MVP.</w:t>
      </w:r>
    </w:p>
    <w:p>
      <w:pPr>
        <w:pStyle w:val="Heading1"/>
        <w:keepNext/>
      </w:pPr>
      <w:r>
        <w:t>Decisions from the Project Owner</w:t>
      </w:r>
    </w:p>
    <w:p>
      <w:pPr>
        <w:pStyle w:val="ListBullet"/>
      </w:pPr>
      <w:r>
        <w:t>All note content, including direct JSON URLs, must require SST student authentication.</w:t>
      </w:r>
    </w:p>
    <w:p>
      <w:pPr>
        <w:pStyle w:val="ListBullet"/>
      </w:pPr>
      <w:r>
        <w:t>Google login accepts only email addresses ending exactly in @sst.scaler.com.</w:t>
      </w:r>
    </w:p>
    <w:p>
      <w:pPr>
        <w:pStyle w:val="ListBullet"/>
      </w:pPr>
      <w:r>
        <w:t>The MVP includes the notes reader, login, search, and bookmarks. Comments, heatmaps, quizzes, live code execution, and interactive visualizers are deferred.</w:t>
      </w:r>
    </w:p>
    <w:p>
      <w:pPr>
        <w:pStyle w:val="Heading2"/>
        <w:keepNext/>
      </w:pPr>
      <w:r>
        <w:t>Release Conditions</w:t>
      </w:r>
    </w:p>
    <w:p>
      <w:pPr>
        <w:pStyle w:val="ListBullet"/>
      </w:pPr>
      <w:r>
        <w:t>Confirm the Google Workspace hd claim using a real test account. The hosted-domain claim may differ from the email suffix.</w:t>
      </w:r>
    </w:p>
    <w:p>
      <w:pPr>
        <w:pStyle w:val="ListBullet"/>
      </w:pPr>
      <w:r>
        <w:t>Keep the GitHub repository containing note JSON private and confirm rights to publish every note before it is merged.</w:t>
      </w:r>
    </w:p>
    <w:p>
      <w:pPr>
        <w:pStyle w:val="ListBullet"/>
      </w:pPr>
      <w:r>
        <w:t>Verify the deployed Vercel routing middleware protects static assets on both cache misses and cache hits.</w:t>
      </w:r>
    </w:p>
    <w:p>
      <w:pPr>
        <w:pStyle w:val="ListBullet"/>
      </w:pPr>
      <w:r>
        <w:t>Choose the Vercel-to-Atlas network policy for the actual plan: use Vercel Static IPs on an eligible plan, or obtain explicit owner acceptance of the broad Atlas IP list required by dynamic egress. Do not misrepresent the latter as a restricted allowlist.</w:t>
      </w:r>
    </w:p>
    <w:p>
      <w:pPr>
        <w:pStyle w:val="ListBullet"/>
      </w:pPr>
      <w:r>
        <w:t>Provision and monitor the shared Upstash Redis rate limiter. Confirm the current free or paid quota and define behavior when Redis is unavailable.</w:t>
      </w:r>
    </w:p>
    <w:p>
      <w:pPr>
        <w:pStyle w:val="ListBullet"/>
      </w:pPr>
      <w:r>
        <w:t>Commit and preview-verify the exact vercel.json and Routing Middleware matcher for the real repository layout. API, note data, static assets, and SPA routes must resolve to distinct handlers.</w:t>
      </w:r>
    </w:p>
    <w:p>
      <w:pPr>
        <w:pStyle w:val="Heading1"/>
        <w:keepNext/>
      </w:pPr>
      <w:r>
        <w:t>1 Purpose and Scope</w:t>
      </w:r>
    </w:p>
    <w:p>
      <w:r>
        <w:t>The platform centralizes student-authored study notes for exam preparation. The first release prioritizes reliable access to reviewed notes and personal organization. Static delivery handles note reads; authenticated API calls are limited to identity, session refresh, account data, and bookmarks.</w:t>
      </w:r>
    </w:p>
    <w:p>
      <w:r>
        <w:t>The current planning estimate is 500 to 1,000 monthly active students. This estimate does not define peak concurrency or a service-level commitment. Confirm exam-week concurrency before production sizing.</w:t>
      </w:r>
    </w:p>
    <w:p>
      <w:pPr>
        <w:pStyle w:val="Heading2"/>
        <w:keepNext/>
      </w:pPr>
      <w:r>
        <w:t>Goals</w:t>
      </w:r>
    </w:p>
    <w:p>
      <w:pPr>
        <w:pStyle w:val="ListBullet"/>
      </w:pPr>
      <w:r>
        <w:t>Allow only approved SST student accounts to retrieve notes and note metadata.</w:t>
      </w:r>
    </w:p>
    <w:p>
      <w:pPr>
        <w:pStyle w:val="ListBullet"/>
      </w:pPr>
      <w:r>
        <w:t>Serve approved notes from a globally cached static path without a database lookup for each note read.</w:t>
      </w:r>
    </w:p>
    <w:p>
      <w:pPr>
        <w:pStyle w:val="ListBullet"/>
      </w:pPr>
      <w:r>
        <w:t>Provide a fast reader, metadata search, and private bookmarks across sessions.</w:t>
      </w:r>
    </w:p>
    <w:p>
      <w:pPr>
        <w:pStyle w:val="ListBullet"/>
      </w:pPr>
      <w:r>
        <w:t>Make content updates reviewable, versioned, and reversible through Git.</w:t>
      </w:r>
    </w:p>
    <w:p>
      <w:pPr>
        <w:pStyle w:val="Heading2"/>
        <w:keepNext/>
      </w:pPr>
      <w:r>
        <w:t>Non Goals for the MVP</w:t>
      </w:r>
    </w:p>
    <w:p>
      <w:pPr>
        <w:pStyle w:val="ListBullet"/>
      </w:pPr>
      <w:r>
        <w:t>Comments, GitHub issue reporting, public profiles, contribution heatmaps, and student uploads.</w:t>
      </w:r>
    </w:p>
    <w:p>
      <w:pPr>
        <w:pStyle w:val="ListBullet"/>
      </w:pPr>
      <w:r>
        <w:t>Quiz engines, flashcards, Sandpack, live code execution, Mermaid rendering, and ALGO_CORE widgets.</w:t>
      </w:r>
    </w:p>
    <w:p>
      <w:pPr>
        <w:pStyle w:val="ListBullet"/>
      </w:pPr>
      <w:r>
        <w:t>A dynamic CMS or automatic publication of AI-generated content.</w:t>
      </w:r>
    </w:p>
    <w:p>
      <w:pPr>
        <w:pStyle w:val="ListBullet"/>
      </w:pPr>
      <w:r>
        <w:t>Processing or publishing institution-owned course PDFs. Only content cleared for this project may enter the publishing workflow.</w:t>
      </w:r>
    </w:p>
    <w:p>
      <w:pPr>
        <w:pStyle w:val="ListBullet"/>
      </w:pPr>
      <w:r>
        <w:t>Offline note downloads or service-worker caching of protected note JSON. Device retention and revocation behavior need an explicit future decision.</w:t>
      </w:r>
    </w:p>
    <w:p>
      <w:pPr>
        <w:pStyle w:val="Heading1"/>
        <w:keepNext/>
      </w:pPr>
      <w:r>
        <w:t>2 Users and Core Journeys</w:t>
      </w:r>
    </w:p>
    <w:tbl>
      <w:tblPr>
        <w:tblW w:type="auto" w:w="0"/>
        <w:jc w:val="center"/>
        <w:tblLayout w:type="fixed"/>
        <w:tblLook w:firstColumn="1" w:firstRow="1" w:lastColumn="0" w:lastRow="0" w:noHBand="0" w:noVBand="1" w:val="04A0"/>
        <w:tblBorders>
          <w:top w:val="single" w:sz="5" w:space="0" w:color="D9DDE3"/>
          <w:left w:val="single" w:sz="5" w:space="0" w:color="D9DDE3"/>
          <w:bottom w:val="single" w:sz="5" w:space="0" w:color="D9DDE3"/>
          <w:right w:val="single" w:sz="5" w:space="0" w:color="D9DDE3"/>
          <w:insideH w:val="single" w:sz="5" w:space="0" w:color="D9DDE3"/>
          <w:insideV w:val="single" w:sz="5" w:space="0" w:color="D9DDE3"/>
        </w:tblBorders>
      </w:tblPr>
      <w:tblGrid>
        <w:gridCol w:w="4831"/>
        <w:gridCol w:w="4831"/>
      </w:tblGrid>
      <w:tr>
        <w:trPr>
          <w:tblHeader w:val="true"/>
        </w:trPr>
        <w:tc>
          <w:tcPr>
            <w:tcW w:type="dxa" w:w="1800"/>
            <w:vAlign w:val="center"/>
            <w:shd w:fill="253A5B"/>
            <w:tcMar>
              <w:top w:w="90" w:type="dxa"/>
              <w:start w:w="105" w:type="dxa"/>
              <w:bottom w:w="90" w:type="dxa"/>
              <w:end w:w="105" w:type="dxa"/>
            </w:tcMar>
          </w:tcPr>
          <w:p>
            <w:pPr>
              <w:spacing w:after="0"/>
            </w:pPr>
            <w:r>
              <w:rPr>
                <w:rFonts w:ascii="Calibri" w:hAnsi="Calibri"/>
                <w:b/>
                <w:color w:val="FFFFFF"/>
                <w:sz w:val="18"/>
              </w:rPr>
              <w:t>Journey</w:t>
            </w:r>
          </w:p>
        </w:tc>
        <w:tc>
          <w:tcPr>
            <w:tcW w:type="dxa" w:w="7848"/>
            <w:vAlign w:val="center"/>
            <w:shd w:fill="253A5B"/>
            <w:tcMar>
              <w:top w:w="90" w:type="dxa"/>
              <w:start w:w="105" w:type="dxa"/>
              <w:bottom w:w="90" w:type="dxa"/>
              <w:end w:w="105" w:type="dxa"/>
            </w:tcMar>
          </w:tcPr>
          <w:p>
            <w:pPr>
              <w:spacing w:after="0"/>
            </w:pPr>
            <w:r>
              <w:rPr>
                <w:rFonts w:ascii="Calibri" w:hAnsi="Calibri"/>
                <w:b/>
                <w:color w:val="FFFFFF"/>
                <w:sz w:val="18"/>
              </w:rPr>
              <w:t>Expected behavior</w:t>
            </w:r>
          </w:p>
        </w:tc>
      </w:tr>
      <w:tr>
        <w:trPr>
          <w:cantSplit/>
        </w:trPr>
        <w:tc>
          <w:tcPr>
            <w:tcW w:type="dxa" w:w="1800"/>
            <w:vAlign w:val="center"/>
            <w:tcMar>
              <w:top w:w="90" w:type="dxa"/>
              <w:start w:w="105" w:type="dxa"/>
              <w:bottom w:w="90" w:type="dxa"/>
              <w:end w:w="105" w:type="dxa"/>
            </w:tcMar>
          </w:tcPr>
          <w:p>
            <w:pPr>
              <w:spacing w:after="0" w:line="252" w:lineRule="auto"/>
            </w:pPr>
            <w:r>
              <w:rPr>
                <w:rFonts w:ascii="Calibri" w:hAnsi="Calibri"/>
                <w:color w:val="222222"/>
                <w:sz w:val="18"/>
              </w:rPr>
              <w:t>Sign in</w:t>
            </w:r>
          </w:p>
        </w:tc>
        <w:tc>
          <w:tcPr>
            <w:tcW w:type="dxa" w:w="7848"/>
            <w:vAlign w:val="center"/>
            <w:tcMar>
              <w:top w:w="90" w:type="dxa"/>
              <w:start w:w="105" w:type="dxa"/>
              <w:bottom w:w="90" w:type="dxa"/>
              <w:end w:w="105" w:type="dxa"/>
            </w:tcMar>
          </w:tcPr>
          <w:p>
            <w:pPr>
              <w:spacing w:after="0" w:line="252" w:lineRule="auto"/>
            </w:pPr>
            <w:r>
              <w:rPr>
                <w:rFonts w:ascii="Calibri" w:hAnsi="Calibri"/>
                <w:color w:val="222222"/>
                <w:sz w:val="18"/>
              </w:rPr>
              <w:t>A student signs in with Google. The API verifies the Google ID token, checks the email suffix and approved hosted domain, then creates or restores the student account.</w:t>
            </w:r>
          </w:p>
        </w:tc>
      </w:tr>
      <w:tr>
        <w:trPr>
          <w:cantSplit/>
        </w:trPr>
        <w:tc>
          <w:tcPr>
            <w:tcW w:type="dxa" w:w="1800"/>
            <w:vAlign w:val="center"/>
            <w:tcMar>
              <w:top w:w="90" w:type="dxa"/>
              <w:start w:w="105" w:type="dxa"/>
              <w:bottom w:w="90" w:type="dxa"/>
              <w:end w:w="105" w:type="dxa"/>
            </w:tcMar>
            <w:shd w:fill="F3F6F9"/>
          </w:tcPr>
          <w:p>
            <w:pPr>
              <w:spacing w:after="0" w:line="252" w:lineRule="auto"/>
            </w:pPr>
            <w:r>
              <w:rPr>
                <w:rFonts w:ascii="Calibri" w:hAnsi="Calibri"/>
                <w:color w:val="222222"/>
                <w:sz w:val="18"/>
              </w:rPr>
              <w:t>Read a note</w:t>
            </w:r>
          </w:p>
        </w:tc>
        <w:tc>
          <w:tcPr>
            <w:tcW w:type="dxa" w:w="7848"/>
            <w:vAlign w:val="center"/>
            <w:tcMar>
              <w:top w:w="90" w:type="dxa"/>
              <w:start w:w="105" w:type="dxa"/>
              <w:bottom w:w="90" w:type="dxa"/>
              <w:end w:w="105" w:type="dxa"/>
            </w:tcMar>
            <w:shd w:fill="F3F6F9"/>
          </w:tcPr>
          <w:p>
            <w:pPr>
              <w:spacing w:after="0" w:line="252" w:lineRule="auto"/>
            </w:pPr>
            <w:r>
              <w:rPr>
                <w:rFonts w:ascii="Calibri" w:hAnsi="Calibri"/>
                <w:color w:val="222222"/>
                <w:sz w:val="18"/>
              </w:rPr>
              <w:t>The app retrieves the protected note index and note JSON. A valid short-lived access cookie is checked by Vercel Routing Middleware before the CDN can serve cached content.</w:t>
            </w:r>
          </w:p>
        </w:tc>
      </w:tr>
      <w:tr>
        <w:trPr>
          <w:cantSplit/>
        </w:trPr>
        <w:tc>
          <w:tcPr>
            <w:tcW w:type="dxa" w:w="1800"/>
            <w:vAlign w:val="center"/>
            <w:tcMar>
              <w:top w:w="90" w:type="dxa"/>
              <w:start w:w="105" w:type="dxa"/>
              <w:bottom w:w="90" w:type="dxa"/>
              <w:end w:w="105" w:type="dxa"/>
            </w:tcMar>
          </w:tcPr>
          <w:p>
            <w:pPr>
              <w:spacing w:after="0" w:line="252" w:lineRule="auto"/>
            </w:pPr>
            <w:r>
              <w:rPr>
                <w:rFonts w:ascii="Calibri" w:hAnsi="Calibri"/>
                <w:color w:val="222222"/>
                <w:sz w:val="18"/>
              </w:rPr>
              <w:t>Search</w:t>
            </w:r>
          </w:p>
        </w:tc>
        <w:tc>
          <w:tcPr>
            <w:tcW w:type="dxa" w:w="7848"/>
            <w:vAlign w:val="center"/>
            <w:tcMar>
              <w:top w:w="90" w:type="dxa"/>
              <w:start w:w="105" w:type="dxa"/>
              <w:bottom w:w="90" w:type="dxa"/>
              <w:end w:w="105" w:type="dxa"/>
            </w:tcMar>
          </w:tcPr>
          <w:p>
            <w:pPr>
              <w:spacing w:after="0" w:line="252" w:lineRule="auto"/>
            </w:pPr>
            <w:r>
              <w:rPr>
                <w:rFonts w:ascii="Calibri" w:hAnsi="Calibri"/>
                <w:color w:val="222222"/>
                <w:sz w:val="18"/>
              </w:rPr>
              <w:t>The student filters by title, summary, term, subject, or tags using a generated index that is itself protected by the same access rule.</w:t>
            </w:r>
          </w:p>
        </w:tc>
      </w:tr>
      <w:tr>
        <w:trPr>
          <w:cantSplit/>
        </w:trPr>
        <w:tc>
          <w:tcPr>
            <w:tcW w:type="dxa" w:w="1800"/>
            <w:vAlign w:val="center"/>
            <w:tcMar>
              <w:top w:w="90" w:type="dxa"/>
              <w:start w:w="105" w:type="dxa"/>
              <w:bottom w:w="90" w:type="dxa"/>
              <w:end w:w="105" w:type="dxa"/>
            </w:tcMar>
            <w:shd w:fill="F3F6F9"/>
          </w:tcPr>
          <w:p>
            <w:pPr>
              <w:spacing w:after="0" w:line="252" w:lineRule="auto"/>
            </w:pPr>
            <w:r>
              <w:rPr>
                <w:rFonts w:ascii="Calibri" w:hAnsi="Calibri"/>
                <w:color w:val="222222"/>
                <w:sz w:val="18"/>
              </w:rPr>
              <w:t>Bookmark</w:t>
            </w:r>
          </w:p>
        </w:tc>
        <w:tc>
          <w:tcPr>
            <w:tcW w:type="dxa" w:w="7848"/>
            <w:vAlign w:val="center"/>
            <w:tcMar>
              <w:top w:w="90" w:type="dxa"/>
              <w:start w:w="105" w:type="dxa"/>
              <w:bottom w:w="90" w:type="dxa"/>
              <w:end w:w="105" w:type="dxa"/>
            </w:tcMar>
            <w:shd w:fill="F3F6F9"/>
          </w:tcPr>
          <w:p>
            <w:pPr>
              <w:spacing w:after="0" w:line="252" w:lineRule="auto"/>
            </w:pPr>
            <w:r>
              <w:rPr>
                <w:rFonts w:ascii="Calibri" w:hAnsi="Calibri"/>
                <w:color w:val="222222"/>
                <w:sz w:val="18"/>
              </w:rPr>
              <w:t>The student adds or removes a note bookmark. The API verifies the session and stores one unique bookmark per student and note.</w:t>
            </w:r>
          </w:p>
        </w:tc>
      </w:tr>
      <w:tr>
        <w:trPr>
          <w:cantSplit/>
        </w:trPr>
        <w:tc>
          <w:tcPr>
            <w:tcW w:type="dxa" w:w="1800"/>
            <w:vAlign w:val="center"/>
            <w:tcMar>
              <w:top w:w="90" w:type="dxa"/>
              <w:start w:w="105" w:type="dxa"/>
              <w:bottom w:w="90" w:type="dxa"/>
              <w:end w:w="105" w:type="dxa"/>
            </w:tcMar>
          </w:tcPr>
          <w:p>
            <w:pPr>
              <w:spacing w:after="0" w:line="252" w:lineRule="auto"/>
            </w:pPr>
            <w:r>
              <w:rPr>
                <w:rFonts w:ascii="Calibri" w:hAnsi="Calibri"/>
                <w:color w:val="222222"/>
                <w:sz w:val="18"/>
              </w:rPr>
              <w:t>Delete account</w:t>
            </w:r>
          </w:p>
        </w:tc>
        <w:tc>
          <w:tcPr>
            <w:tcW w:type="dxa" w:w="7848"/>
            <w:vAlign w:val="center"/>
            <w:tcMar>
              <w:top w:w="90" w:type="dxa"/>
              <w:start w:w="105" w:type="dxa"/>
              <w:bottom w:w="90" w:type="dxa"/>
              <w:end w:w="105" w:type="dxa"/>
            </w:tcMar>
          </w:tcPr>
          <w:p>
            <w:pPr>
              <w:spacing w:after="0" w:line="252" w:lineRule="auto"/>
            </w:pPr>
            <w:r>
              <w:rPr>
                <w:rFonts w:ascii="Calibri" w:hAnsi="Calibri"/>
                <w:color w:val="222222"/>
                <w:sz w:val="18"/>
              </w:rPr>
              <w:t>The student can revoke sessions and delete profile and bookmark data. The operation also clears the browser cookies.</w:t>
            </w:r>
          </w:p>
        </w:tc>
      </w:tr>
    </w:tbl>
    <w:p/>
    <w:p>
      <w:pPr>
        <w:pStyle w:val="Heading1"/>
        <w:keepNext/>
      </w:pPr>
      <w:r>
        <w:t>3 Architecture</w:t>
      </w:r>
    </w:p>
    <w:p>
      <w:r>
        <w:t>Prefer one Vercel deployment and one browser origin for the Vite app, protected note files, Vercel Routing Middleware, and FastAPI endpoints, but treat the combined build and route table as a launch gate. Vercel documents its Python runtime as beta and FastAPI as a single Function by default. Antigravity must inspect the actual repository, commit the exact supported vercel.json and middleware matcher, then prove the routes in a preview. If the combination cannot be made reliable, stop and get owner approval for a same-site alternate API host; do not remove the access check to make deployment easier.</w:t>
      </w:r>
    </w:p>
    <w:tbl>
      <w:tblPr>
        <w:tblW w:type="auto" w:w="0"/>
        <w:jc w:val="center"/>
        <w:tblLayout w:type="fixed"/>
        <w:tblLook w:firstColumn="1" w:firstRow="1" w:lastColumn="0" w:lastRow="0" w:noHBand="0" w:noVBand="1" w:val="04A0"/>
        <w:tblBorders>
          <w:top w:val="single" w:sz="5" w:space="0" w:color="D9DDE3"/>
          <w:left w:val="single" w:sz="5" w:space="0" w:color="D9DDE3"/>
          <w:bottom w:val="single" w:sz="5" w:space="0" w:color="D9DDE3"/>
          <w:right w:val="single" w:sz="5" w:space="0" w:color="D9DDE3"/>
          <w:insideH w:val="single" w:sz="5" w:space="0" w:color="D9DDE3"/>
          <w:insideV w:val="single" w:sz="5" w:space="0" w:color="D9DDE3"/>
        </w:tblBorders>
      </w:tblPr>
      <w:tblGrid>
        <w:gridCol w:w="4831"/>
        <w:gridCol w:w="4831"/>
      </w:tblGrid>
      <w:tr>
        <w:trPr>
          <w:tblHeader w:val="true"/>
        </w:trPr>
        <w:tc>
          <w:tcPr>
            <w:tcW w:type="dxa" w:w="2592"/>
            <w:vAlign w:val="center"/>
            <w:shd w:fill="253A5B"/>
            <w:tcMar>
              <w:top w:w="90" w:type="dxa"/>
              <w:start w:w="105" w:type="dxa"/>
              <w:bottom w:w="90" w:type="dxa"/>
              <w:end w:w="105" w:type="dxa"/>
            </w:tcMar>
          </w:tcPr>
          <w:p>
            <w:pPr>
              <w:spacing w:after="0"/>
            </w:pPr>
            <w:r>
              <w:rPr>
                <w:rFonts w:ascii="Calibri" w:hAnsi="Calibri"/>
                <w:b/>
                <w:color w:val="FFFFFF"/>
                <w:sz w:val="18"/>
              </w:rPr>
              <w:t>Component</w:t>
            </w:r>
          </w:p>
        </w:tc>
        <w:tc>
          <w:tcPr>
            <w:tcW w:type="dxa" w:w="7056"/>
            <w:vAlign w:val="center"/>
            <w:shd w:fill="253A5B"/>
            <w:tcMar>
              <w:top w:w="90" w:type="dxa"/>
              <w:start w:w="105" w:type="dxa"/>
              <w:bottom w:w="90" w:type="dxa"/>
              <w:end w:w="105" w:type="dxa"/>
            </w:tcMar>
          </w:tcPr>
          <w:p>
            <w:pPr>
              <w:spacing w:after="0"/>
            </w:pPr>
            <w:r>
              <w:rPr>
                <w:rFonts w:ascii="Calibri" w:hAnsi="Calibri"/>
                <w:b/>
                <w:color w:val="FFFFFF"/>
                <w:sz w:val="18"/>
              </w:rPr>
              <w:t>Responsibility</w:t>
            </w:r>
          </w:p>
        </w:tc>
      </w:tr>
      <w:tr>
        <w:trPr>
          <w:cantSplit/>
        </w:trPr>
        <w:tc>
          <w:tcPr>
            <w:tcW w:type="dxa" w:w="2592"/>
            <w:vAlign w:val="center"/>
            <w:tcMar>
              <w:top w:w="90" w:type="dxa"/>
              <w:start w:w="105" w:type="dxa"/>
              <w:bottom w:w="90" w:type="dxa"/>
              <w:end w:w="105" w:type="dxa"/>
            </w:tcMar>
          </w:tcPr>
          <w:p>
            <w:pPr>
              <w:spacing w:after="0" w:line="252" w:lineRule="auto"/>
            </w:pPr>
            <w:r>
              <w:rPr>
                <w:rFonts w:ascii="Calibri" w:hAnsi="Calibri"/>
                <w:color w:val="222222"/>
                <w:sz w:val="18"/>
              </w:rPr>
              <w:t>React and Vite</w:t>
            </w:r>
          </w:p>
        </w:tc>
        <w:tc>
          <w:tcPr>
            <w:tcW w:type="dxa" w:w="7056"/>
            <w:vAlign w:val="center"/>
            <w:tcMar>
              <w:top w:w="90" w:type="dxa"/>
              <w:start w:w="105" w:type="dxa"/>
              <w:bottom w:w="90" w:type="dxa"/>
              <w:end w:w="105" w:type="dxa"/>
            </w:tcMar>
          </w:tcPr>
          <w:p>
            <w:pPr>
              <w:spacing w:after="0" w:line="252" w:lineRule="auto"/>
            </w:pPr>
            <w:r>
              <w:rPr>
                <w:rFonts w:ascii="Calibri" w:hAnsi="Calibri"/>
                <w:color w:val="222222"/>
                <w:sz w:val="18"/>
              </w:rPr>
              <w:t>Render the responsive reader, navigation, search, theme, sign-in state, and private bookmark list.</w:t>
            </w:r>
          </w:p>
        </w:tc>
      </w:tr>
      <w:tr>
        <w:trPr>
          <w:cantSplit/>
        </w:trPr>
        <w:tc>
          <w:tcPr>
            <w:tcW w:type="dxa" w:w="2592"/>
            <w:vAlign w:val="center"/>
            <w:tcMar>
              <w:top w:w="90" w:type="dxa"/>
              <w:start w:w="105" w:type="dxa"/>
              <w:bottom w:w="90" w:type="dxa"/>
              <w:end w:w="105" w:type="dxa"/>
            </w:tcMar>
            <w:shd w:fill="F3F6F9"/>
          </w:tcPr>
          <w:p>
            <w:pPr>
              <w:spacing w:after="0" w:line="252" w:lineRule="auto"/>
            </w:pPr>
            <w:r>
              <w:rPr>
                <w:rFonts w:ascii="Calibri" w:hAnsi="Calibri"/>
                <w:color w:val="222222"/>
                <w:sz w:val="18"/>
              </w:rPr>
              <w:t>Vercel Routing Middleware</w:t>
            </w:r>
          </w:p>
        </w:tc>
        <w:tc>
          <w:tcPr>
            <w:tcW w:type="dxa" w:w="7056"/>
            <w:vAlign w:val="center"/>
            <w:tcMar>
              <w:top w:w="90" w:type="dxa"/>
              <w:start w:w="105" w:type="dxa"/>
              <w:bottom w:w="90" w:type="dxa"/>
              <w:end w:w="105" w:type="dxa"/>
            </w:tcMar>
            <w:shd w:fill="F3F6F9"/>
          </w:tcPr>
          <w:p>
            <w:pPr>
              <w:spacing w:after="0" w:line="252" w:lineRule="auto"/>
            </w:pPr>
            <w:r>
              <w:rPr>
                <w:rFonts w:ascii="Calibri" w:hAnsi="Calibri"/>
                <w:color w:val="222222"/>
                <w:sz w:val="18"/>
              </w:rPr>
              <w:t>Use the current Node.js-based Routing Middleware to verify the access JWT on every request to protected note paths before CDN cache lookup. Do not build around the legacy Edge Middleware runtime.</w:t>
            </w:r>
          </w:p>
        </w:tc>
      </w:tr>
      <w:tr>
        <w:trPr>
          <w:cantSplit/>
        </w:trPr>
        <w:tc>
          <w:tcPr>
            <w:tcW w:type="dxa" w:w="2592"/>
            <w:vAlign w:val="center"/>
            <w:tcMar>
              <w:top w:w="90" w:type="dxa"/>
              <w:start w:w="105" w:type="dxa"/>
              <w:bottom w:w="90" w:type="dxa"/>
              <w:end w:w="105" w:type="dxa"/>
            </w:tcMar>
          </w:tcPr>
          <w:p>
            <w:pPr>
              <w:spacing w:after="0" w:line="252" w:lineRule="auto"/>
            </w:pPr>
            <w:r>
              <w:rPr>
                <w:rFonts w:ascii="Calibri" w:hAnsi="Calibri"/>
                <w:color w:val="222222"/>
                <w:sz w:val="18"/>
              </w:rPr>
              <w:t>FastAPI on Vercel</w:t>
            </w:r>
          </w:p>
        </w:tc>
        <w:tc>
          <w:tcPr>
            <w:tcW w:type="dxa" w:w="7056"/>
            <w:vAlign w:val="center"/>
            <w:tcMar>
              <w:top w:w="90" w:type="dxa"/>
              <w:start w:w="105" w:type="dxa"/>
              <w:bottom w:w="90" w:type="dxa"/>
              <w:end w:w="105" w:type="dxa"/>
            </w:tcMar>
          </w:tcPr>
          <w:p>
            <w:pPr>
              <w:spacing w:after="0" w:line="252" w:lineRule="auto"/>
            </w:pPr>
            <w:r>
              <w:rPr>
                <w:rFonts w:ascii="Calibri" w:hAnsi="Calibri"/>
                <w:color w:val="222222"/>
                <w:sz w:val="18"/>
              </w:rPr>
              <w:t>Verify Google ID tokens, issue and rotate sessions, return the current user, and create or delete bookmarks.</w:t>
            </w:r>
          </w:p>
        </w:tc>
      </w:tr>
      <w:tr>
        <w:trPr>
          <w:cantSplit/>
        </w:trPr>
        <w:tc>
          <w:tcPr>
            <w:tcW w:type="dxa" w:w="2592"/>
            <w:vAlign w:val="center"/>
            <w:tcMar>
              <w:top w:w="90" w:type="dxa"/>
              <w:start w:w="105" w:type="dxa"/>
              <w:bottom w:w="90" w:type="dxa"/>
              <w:end w:w="105" w:type="dxa"/>
            </w:tcMar>
            <w:shd w:fill="F3F6F9"/>
          </w:tcPr>
          <w:p>
            <w:pPr>
              <w:spacing w:after="0" w:line="252" w:lineRule="auto"/>
            </w:pPr>
            <w:r>
              <w:rPr>
                <w:rFonts w:ascii="Calibri" w:hAnsi="Calibri"/>
                <w:color w:val="222222"/>
                <w:sz w:val="18"/>
              </w:rPr>
              <w:t>MongoDB Atlas</w:t>
            </w:r>
          </w:p>
        </w:tc>
        <w:tc>
          <w:tcPr>
            <w:tcW w:type="dxa" w:w="7056"/>
            <w:vAlign w:val="center"/>
            <w:tcMar>
              <w:top w:w="90" w:type="dxa"/>
              <w:start w:w="105" w:type="dxa"/>
              <w:bottom w:w="90" w:type="dxa"/>
              <w:end w:w="105" w:type="dxa"/>
            </w:tcMar>
            <w:shd w:fill="F3F6F9"/>
          </w:tcPr>
          <w:p>
            <w:pPr>
              <w:spacing w:after="0" w:line="252" w:lineRule="auto"/>
            </w:pPr>
            <w:r>
              <w:rPr>
                <w:rFonts w:ascii="Calibri" w:hAnsi="Calibri"/>
                <w:color w:val="222222"/>
                <w:sz w:val="18"/>
              </w:rPr>
              <w:t>Store minimal user profiles, hashed refresh sessions, and bookmarks. Never store note bodies here.</w:t>
            </w:r>
          </w:p>
        </w:tc>
      </w:tr>
      <w:tr>
        <w:trPr>
          <w:cantSplit/>
        </w:trPr>
        <w:tc>
          <w:tcPr>
            <w:tcW w:type="dxa" w:w="2592"/>
            <w:vAlign w:val="center"/>
            <w:tcMar>
              <w:top w:w="90" w:type="dxa"/>
              <w:start w:w="105" w:type="dxa"/>
              <w:bottom w:w="90" w:type="dxa"/>
              <w:end w:w="105" w:type="dxa"/>
            </w:tcMar>
          </w:tcPr>
          <w:p>
            <w:pPr>
              <w:spacing w:after="0" w:line="252" w:lineRule="auto"/>
            </w:pPr>
            <w:r>
              <w:rPr>
                <w:rFonts w:ascii="Calibri" w:hAnsi="Calibri"/>
                <w:color w:val="222222"/>
                <w:sz w:val="18"/>
              </w:rPr>
              <w:t>Upstash Redis through Vercel Marketplace</w:t>
            </w:r>
          </w:p>
        </w:tc>
        <w:tc>
          <w:tcPr>
            <w:tcW w:type="dxa" w:w="7056"/>
            <w:vAlign w:val="center"/>
            <w:tcMar>
              <w:top w:w="90" w:type="dxa"/>
              <w:start w:w="105" w:type="dxa"/>
              <w:bottom w:w="90" w:type="dxa"/>
              <w:end w:w="105" w:type="dxa"/>
            </w:tcMar>
          </w:tcPr>
          <w:p>
            <w:pPr>
              <w:spacing w:after="0" w:line="252" w:lineRule="auto"/>
            </w:pPr>
            <w:r>
              <w:rPr>
                <w:rFonts w:ascii="Calibri" w:hAnsi="Calibri"/>
                <w:color w:val="222222"/>
                <w:sz w:val="18"/>
              </w:rPr>
              <w:t>Keep shared, expiring counters for distributed rate limits on public authentication endpoints. Do not store refresh sessions here in the MVP.</w:t>
            </w:r>
          </w:p>
        </w:tc>
      </w:tr>
      <w:tr>
        <w:trPr>
          <w:cantSplit/>
        </w:trPr>
        <w:tc>
          <w:tcPr>
            <w:tcW w:type="dxa" w:w="2592"/>
            <w:vAlign w:val="center"/>
            <w:tcMar>
              <w:top w:w="90" w:type="dxa"/>
              <w:start w:w="105" w:type="dxa"/>
              <w:bottom w:w="90" w:type="dxa"/>
              <w:end w:w="105" w:type="dxa"/>
            </w:tcMar>
            <w:shd w:fill="F3F6F9"/>
          </w:tcPr>
          <w:p>
            <w:pPr>
              <w:spacing w:after="0" w:line="252" w:lineRule="auto"/>
            </w:pPr>
            <w:r>
              <w:rPr>
                <w:rFonts w:ascii="Calibri" w:hAnsi="Calibri"/>
                <w:color w:val="222222"/>
                <w:sz w:val="18"/>
              </w:rPr>
              <w:t>Private Git repository and Vercel CDN</w:t>
            </w:r>
          </w:p>
        </w:tc>
        <w:tc>
          <w:tcPr>
            <w:tcW w:type="dxa" w:w="7056"/>
            <w:vAlign w:val="center"/>
            <w:tcMar>
              <w:top w:w="90" w:type="dxa"/>
              <w:start w:w="105" w:type="dxa"/>
              <w:bottom w:w="90" w:type="dxa"/>
              <w:end w:w="105" w:type="dxa"/>
            </w:tcMar>
            <w:shd w:fill="F3F6F9"/>
          </w:tcPr>
          <w:p>
            <w:pPr>
              <w:spacing w:after="0" w:line="252" w:lineRule="auto"/>
            </w:pPr>
            <w:r>
              <w:rPr>
                <w:rFonts w:ascii="Calibri" w:hAnsi="Calibri"/>
                <w:color w:val="222222"/>
                <w:sz w:val="18"/>
              </w:rPr>
              <w:t>Version, validate, build, and serve approved static note JSON and the generated search index.</w:t>
            </w:r>
          </w:p>
        </w:tc>
      </w:tr>
      <w:tr>
        <w:trPr>
          <w:cantSplit/>
        </w:trPr>
        <w:tc>
          <w:tcPr>
            <w:tcW w:type="dxa" w:w="2592"/>
            <w:vAlign w:val="center"/>
            <w:tcMar>
              <w:top w:w="90" w:type="dxa"/>
              <w:start w:w="105" w:type="dxa"/>
              <w:bottom w:w="90" w:type="dxa"/>
              <w:end w:w="105" w:type="dxa"/>
            </w:tcMar>
          </w:tcPr>
          <w:p>
            <w:pPr>
              <w:spacing w:after="0" w:line="252" w:lineRule="auto"/>
            </w:pPr>
            <w:r>
              <w:rPr>
                <w:rFonts w:ascii="Calibri" w:hAnsi="Calibri"/>
                <w:color w:val="222222"/>
                <w:sz w:val="18"/>
              </w:rPr>
              <w:t>Antigravity</w:t>
            </w:r>
          </w:p>
        </w:tc>
        <w:tc>
          <w:tcPr>
            <w:tcW w:type="dxa" w:w="7056"/>
            <w:vAlign w:val="center"/>
            <w:tcMar>
              <w:top w:w="90" w:type="dxa"/>
              <w:start w:w="105" w:type="dxa"/>
              <w:bottom w:w="90" w:type="dxa"/>
              <w:end w:w="105" w:type="dxa"/>
            </w:tcMar>
          </w:tcPr>
          <w:p>
            <w:pPr>
              <w:spacing w:after="0" w:line="252" w:lineRule="auto"/>
            </w:pPr>
            <w:r>
              <w:rPr>
                <w:rFonts w:ascii="Calibri" w:hAnsi="Calibri"/>
                <w:color w:val="222222"/>
                <w:sz w:val="18"/>
              </w:rPr>
              <w:t>Implement the application in milestones according to this document. It is not called by the running website.</w:t>
            </w:r>
          </w:p>
        </w:tc>
      </w:tr>
    </w:tbl>
    <w:p/>
    <w:p>
      <w:pPr>
        <w:pStyle w:val="Heading2"/>
        <w:keepNext/>
      </w:pPr>
      <w:r>
        <w:t>Request Flow</w:t>
      </w:r>
    </w:p>
    <w:p>
      <w:pPr>
        <w:pStyle w:val="ListNumber"/>
      </w:pPr>
      <w:r>
        <w:t>The browser loads the public application shell. The shell contains no note text, note index, student data, or secrets.</w:t>
      </w:r>
    </w:p>
    <w:p>
      <w:pPr>
        <w:pStyle w:val="ListNumber"/>
      </w:pPr>
      <w:r>
        <w:t>Google Identity Services returns an ID token to the frontend. The frontend sends it to the same-origin FastAPI endpoint over HTTPS.</w:t>
      </w:r>
    </w:p>
    <w:p>
      <w:pPr>
        <w:pStyle w:val="ListNumber"/>
      </w:pPr>
      <w:r>
        <w:t>FastAPI verifies the Google token and access policy, creates or looks up the user by Google sub, then issues a short-lived access JWT and a rotating refresh session.</w:t>
      </w:r>
    </w:p>
    <w:p>
      <w:pPr>
        <w:pStyle w:val="ListNumber"/>
      </w:pPr>
      <w:r>
        <w:t>For a note read, Vercel Routing Middleware verifies the access JWT signature, issuer, audience, expiry, subject, and student role. Invalid or missing credentials receive 401 before the static file is served.</w:t>
      </w:r>
    </w:p>
    <w:p>
      <w:pPr>
        <w:pStyle w:val="ListNumber"/>
      </w:pPr>
      <w:r>
        <w:t>After the middleware authorizes the request, the CDN may serve the same static note response to any authorized student. No user-specific response is stored in the shared cache; the middleware must still run before cache lookup on every request.</w:t>
      </w:r>
    </w:p>
    <w:p>
      <w:pPr>
        <w:pStyle w:val="ListNumber"/>
      </w:pPr>
      <w:r>
        <w:t>Bookmark requests go to FastAPI and MongoDB. Note reads never query MongoDB.</w:t>
      </w:r>
    </w:p>
    <w:p>
      <w:pPr>
        <w:pStyle w:val="Heading1"/>
        <w:keepNext/>
      </w:pPr>
      <w:r>
        <w:t>4 Authentication and Security</w:t>
      </w:r>
    </w:p>
    <w:p>
      <w:pPr>
        <w:pStyle w:val="Heading2"/>
        <w:keepNext/>
      </w:pPr>
      <w:r>
        <w:t>Google Identity Verification</w:t>
      </w:r>
    </w:p>
    <w:p>
      <w:r>
        <w:t>The API must use Google's maintained Python auth library to verify the signed ID token. It must check all of the following before creating a session:</w:t>
      </w:r>
    </w:p>
    <w:p>
      <w:pPr>
        <w:pStyle w:val="ListBullet"/>
      </w:pPr>
      <w:r>
        <w:t>Signature, issuer, audience, and expiry. The audience must be the configured web client ID.</w:t>
      </w:r>
    </w:p>
    <w:p>
      <w:pPr>
        <w:pStyle w:val="ListBullet"/>
      </w:pPr>
      <w:r>
        <w:t>The email is verified and its normalized value ends exactly with @sst.scaler.com. Do not accept lookalike suffixes.</w:t>
      </w:r>
    </w:p>
    <w:p>
      <w:pPr>
        <w:pStyle w:val="ListBullet"/>
      </w:pPr>
      <w:r>
        <w:t>The hd claim matches an owner-approved GOOGLE_ALLOWED_HD value. Do not assume this value is sst.scaler.com because the email suffix says so.</w:t>
      </w:r>
    </w:p>
    <w:p>
      <w:pPr>
        <w:pStyle w:val="ListBullet"/>
      </w:pPr>
      <w:r>
        <w:t>The sub claim is used as the immutable identity key. Email is a mutable profile attribute, not the database primary key.</w:t>
      </w:r>
    </w:p>
    <w:p>
      <w:pPr>
        <w:pStyle w:val="ListBullet"/>
      </w:pPr>
      <w:r>
        <w:t>The login request uses a one-time nonce and exact allowed Origin. Reject replayed, expired, malformed, or wrong-client tokens.</w:t>
      </w:r>
    </w:p>
    <w:p>
      <w:pPr>
        <w:pStyle w:val="Heading2"/>
        <w:keepNext/>
      </w:pPr>
      <w:r>
        <w:t>Session Cookies and Revocation</w:t>
      </w:r>
    </w:p>
    <w:p>
      <w:pPr>
        <w:pStyle w:val="ListBullet"/>
      </w:pPr>
      <w:r>
        <w:t>Issue an access JWT with a 15-minute lifetime. Include issuer, audience, subject, student role, issue time, expiry, and key identifier claims.</w:t>
      </w:r>
    </w:p>
    <w:p>
      <w:pPr>
        <w:pStyle w:val="ListBullet"/>
      </w:pPr>
      <w:r>
        <w:t>Sign access JWTs in FastAPI with a private key. Give Vercel Routing Middleware only the public verification key. Keep both keys in server-side environment variables, never in VITE-prefixed variables or the repository.</w:t>
      </w:r>
    </w:p>
    <w:p>
      <w:pPr>
        <w:pStyle w:val="ListBullet"/>
      </w:pPr>
      <w:r>
        <w:t>Issue a cryptographically random refresh token with a seven-day inactivity lifetime. Store only its hash in the Sessions collection and rotate it at each refresh.</w:t>
      </w:r>
    </w:p>
    <w:p>
      <w:pPr>
        <w:pStyle w:val="ListBullet"/>
      </w:pPr>
      <w:r>
        <w:t>Set access and refresh cookies as host-only cookies with Secure, HttpOnly, SameSite=Strict, and Path=/. Do not set a Domain attribute. Use HTTPS in production.</w:t>
      </w:r>
    </w:p>
    <w:p>
      <w:pPr>
        <w:pStyle w:val="ListBullet"/>
      </w:pPr>
      <w:r>
        <w:t>For refresh, logout, account deletion, and other state-changing requests, validate the exact Origin and a session-bound CSRF token sent in a custom header. Reject requests from other origins.</w:t>
      </w:r>
    </w:p>
    <w:p>
      <w:pPr>
        <w:pStyle w:val="ListBullet"/>
      </w:pPr>
      <w:r>
        <w:t>Logout revokes the refresh session and clears both cookies. A stolen access token can remain valid for at most 15 minutes; document that bound.</w:t>
      </w:r>
    </w:p>
    <w:p>
      <w:pPr>
        <w:pStyle w:val="ListBullet"/>
      </w:pPr>
      <w:r>
        <w:t>Refresh must check that the user is active. Suspending or deleting a user revokes all refresh sessions. The middleware fails closed when its verification key or token claims are missing.</w:t>
      </w:r>
    </w:p>
    <w:p>
      <w:pPr>
        <w:pStyle w:val="Heading2"/>
        <w:keepNext/>
      </w:pPr>
      <w:r>
        <w:t>Private Static Content</w:t>
      </w:r>
    </w:p>
    <w:p>
      <w:pPr>
        <w:pStyle w:val="ListBullet"/>
      </w:pPr>
      <w:r>
        <w:t>The Git repository containing note content must be private. Do not put the note index or note JSON inside JavaScript bundles or any public asset path that bypasses Routing Middleware.</w:t>
      </w:r>
    </w:p>
    <w:p>
      <w:pPr>
        <w:pStyle w:val="ListBullet"/>
      </w:pPr>
      <w:r>
        <w:t>Protect the manifest, search index, note JSON, and any future content asset path. Do not rely on React route guards as authorization.</w:t>
      </w:r>
    </w:p>
    <w:p>
      <w:pPr>
        <w:pStyle w:val="ListBullet"/>
      </w:pPr>
      <w:r>
        <w:t>Routing Middleware must run on both preview and production deployments and on every matching request, including requests served from cache.</w:t>
      </w:r>
    </w:p>
    <w:p>
      <w:pPr>
        <w:pStyle w:val="ListBullet"/>
      </w:pPr>
      <w:r>
        <w:t>Keep cached note responses identical for every authorized student. The middleware performs authorization; the cached payload contains no user-specific fields.</w:t>
      </w:r>
    </w:p>
    <w:p>
      <w:pPr>
        <w:pStyle w:val="ListBullet"/>
      </w:pPr>
      <w:r>
        <w:t>For successful protected JSON responses, set a Vercel-specific CDN cache policy (Vercel-CDN-Cache-Control) only after authorization, and set Cache-Control: private, no-store for the browser. Use a short, owner-approved CDN TTL and a documented purge/rollback path for urgent content removal. A denied request returns 401 with no-store and never receives a positive CDN caching directive.</w:t>
      </w:r>
    </w:p>
    <w:p>
      <w:pPr>
        <w:pStyle w:val="ListBullet"/>
      </w:pPr>
      <w:r>
        <w:t>Do not vary the shared note payload by user, include user data in its URL, or rely on the CDN cache key to distinguish student cookies. Requests using an Authorization header may not be cacheable; the protected-file flow uses the HttpOnly access cookie and middleware check.</w:t>
      </w:r>
    </w:p>
    <w:p>
      <w:pPr>
        <w:pStyle w:val="ListBullet"/>
      </w:pPr>
      <w:r>
        <w:t>The Service Worker must not precache, runtime-cache, or serve offline any /data/** response. The MVP does not retain protected notes locally after logout, token expiry, or account removal.</w:t>
      </w:r>
    </w:p>
    <w:p>
      <w:pPr>
        <w:pStyle w:val="ListBullet"/>
      </w:pPr>
      <w:r>
        <w:t>Use only approved deployment previews. Preview URLs must not expose note files to unauthenticated users.</w:t>
      </w:r>
    </w:p>
    <w:p>
      <w:pPr>
        <w:pStyle w:val="Heading2"/>
        <w:keepNext/>
      </w:pPr>
      <w:r>
        <w:t>Cross-Site Request Protection</w:t>
      </w:r>
    </w:p>
    <w:p>
      <w:r>
        <w:t>The browser calls /api on the same origin in production. In local development, Vite proxies /api to FastAPI. API writes require the app Origin and the CSRF header. Do not enable wildcard credentialed CORS. If deployment changes to a separate origin, update cookie and CORS rules through an explicit security review before implementation.</w:t>
      </w:r>
    </w:p>
    <w:p>
      <w:pPr>
        <w:pStyle w:val="Heading1"/>
        <w:keepNext/>
      </w:pPr>
      <w:r>
        <w:t>5 API Contract</w:t>
      </w:r>
    </w:p>
    <w:tbl>
      <w:tblPr>
        <w:tblW w:type="auto" w:w="0"/>
        <w:jc w:val="center"/>
        <w:tblLayout w:type="fixed"/>
        <w:tblLook w:firstColumn="1" w:firstRow="1" w:lastColumn="0" w:lastRow="0" w:noHBand="0" w:noVBand="1" w:val="04A0"/>
        <w:tblBorders>
          <w:top w:val="single" w:sz="5" w:space="0" w:color="D9DDE3"/>
          <w:left w:val="single" w:sz="5" w:space="0" w:color="D9DDE3"/>
          <w:bottom w:val="single" w:sz="5" w:space="0" w:color="D9DDE3"/>
          <w:right w:val="single" w:sz="5" w:space="0" w:color="D9DDE3"/>
          <w:insideH w:val="single" w:sz="5" w:space="0" w:color="D9DDE3"/>
          <w:insideV w:val="single" w:sz="5" w:space="0" w:color="D9DDE3"/>
        </w:tblBorders>
      </w:tblPr>
      <w:tblGrid>
        <w:gridCol w:w="3221"/>
        <w:gridCol w:w="3221"/>
        <w:gridCol w:w="3221"/>
      </w:tblGrid>
      <w:tr>
        <w:trPr>
          <w:tblHeader w:val="true"/>
        </w:trPr>
        <w:tc>
          <w:tcPr>
            <w:tcW w:type="dxa" w:w="2736"/>
            <w:vAlign w:val="center"/>
            <w:shd w:fill="253A5B"/>
            <w:tcMar>
              <w:top w:w="90" w:type="dxa"/>
              <w:start w:w="105" w:type="dxa"/>
              <w:bottom w:w="90" w:type="dxa"/>
              <w:end w:w="105" w:type="dxa"/>
            </w:tcMar>
          </w:tcPr>
          <w:p>
            <w:pPr>
              <w:spacing w:after="0"/>
            </w:pPr>
            <w:r>
              <w:rPr>
                <w:rFonts w:ascii="Calibri" w:hAnsi="Calibri"/>
                <w:b/>
                <w:color w:val="FFFFFF"/>
                <w:sz w:val="17"/>
              </w:rPr>
              <w:t>Method and path</w:t>
            </w:r>
          </w:p>
        </w:tc>
        <w:tc>
          <w:tcPr>
            <w:tcW w:type="dxa" w:w="2232"/>
            <w:vAlign w:val="center"/>
            <w:shd w:fill="253A5B"/>
            <w:tcMar>
              <w:top w:w="90" w:type="dxa"/>
              <w:start w:w="105" w:type="dxa"/>
              <w:bottom w:w="90" w:type="dxa"/>
              <w:end w:w="105" w:type="dxa"/>
            </w:tcMar>
          </w:tcPr>
          <w:p>
            <w:pPr>
              <w:spacing w:after="0"/>
            </w:pPr>
            <w:r>
              <w:rPr>
                <w:rFonts w:ascii="Calibri" w:hAnsi="Calibri"/>
                <w:b/>
                <w:color w:val="FFFFFF"/>
                <w:sz w:val="17"/>
              </w:rPr>
              <w:t>Access</w:t>
            </w:r>
          </w:p>
        </w:tc>
        <w:tc>
          <w:tcPr>
            <w:tcW w:type="dxa" w:w="4680"/>
            <w:vAlign w:val="center"/>
            <w:shd w:fill="253A5B"/>
            <w:tcMar>
              <w:top w:w="90" w:type="dxa"/>
              <w:start w:w="105" w:type="dxa"/>
              <w:bottom w:w="90" w:type="dxa"/>
              <w:end w:w="105" w:type="dxa"/>
            </w:tcMar>
          </w:tcPr>
          <w:p>
            <w:pPr>
              <w:spacing w:after="0"/>
            </w:pPr>
            <w:r>
              <w:rPr>
                <w:rFonts w:ascii="Calibri" w:hAnsi="Calibri"/>
                <w:b/>
                <w:color w:val="FFFFFF"/>
                <w:sz w:val="17"/>
              </w:rPr>
              <w:t>Behavior</w:t>
            </w:r>
          </w:p>
        </w:tc>
      </w:tr>
      <w:tr>
        <w:trPr>
          <w:cantSplit/>
        </w:trPr>
        <w:tc>
          <w:tcPr>
            <w:tcW w:type="dxa" w:w="2736"/>
            <w:vAlign w:val="center"/>
            <w:tcMar>
              <w:top w:w="90" w:type="dxa"/>
              <w:start w:w="105" w:type="dxa"/>
              <w:bottom w:w="90" w:type="dxa"/>
              <w:end w:w="105" w:type="dxa"/>
            </w:tcMar>
          </w:tcPr>
          <w:p>
            <w:pPr>
              <w:spacing w:after="0" w:line="252" w:lineRule="auto"/>
            </w:pPr>
            <w:r>
              <w:rPr>
                <w:rFonts w:ascii="Calibri" w:hAnsi="Calibri"/>
                <w:color w:val="222222"/>
                <w:sz w:val="17"/>
              </w:rPr>
              <w:t>POST /api/auth/google</w:t>
            </w:r>
          </w:p>
        </w:tc>
        <w:tc>
          <w:tcPr>
            <w:tcW w:type="dxa" w:w="2232"/>
            <w:vAlign w:val="center"/>
            <w:tcMar>
              <w:top w:w="90" w:type="dxa"/>
              <w:start w:w="105" w:type="dxa"/>
              <w:bottom w:w="90" w:type="dxa"/>
              <w:end w:w="105" w:type="dxa"/>
            </w:tcMar>
          </w:tcPr>
          <w:p>
            <w:pPr>
              <w:spacing w:after="0" w:line="252" w:lineRule="auto"/>
            </w:pPr>
            <w:r>
              <w:rPr>
                <w:rFonts w:ascii="Calibri" w:hAnsi="Calibri"/>
                <w:color w:val="222222"/>
                <w:sz w:val="17"/>
              </w:rPr>
              <w:t>Public, Upstash distributed rate limit</w:t>
            </w:r>
          </w:p>
        </w:tc>
        <w:tc>
          <w:tcPr>
            <w:tcW w:type="dxa" w:w="4680"/>
            <w:vAlign w:val="center"/>
            <w:tcMar>
              <w:top w:w="90" w:type="dxa"/>
              <w:start w:w="105" w:type="dxa"/>
              <w:bottom w:w="90" w:type="dxa"/>
              <w:end w:w="105" w:type="dxa"/>
            </w:tcMar>
          </w:tcPr>
          <w:p>
            <w:pPr>
              <w:spacing w:after="0" w:line="252" w:lineRule="auto"/>
            </w:pPr>
            <w:r>
              <w:rPr>
                <w:rFonts w:ascii="Calibri" w:hAnsi="Calibri"/>
                <w:color w:val="222222"/>
                <w:sz w:val="17"/>
              </w:rPr>
              <w:t>Accept a Google ID token and nonce; verify and issue cookies. Return 200 for a signed-in student; return 401 or 403 on invalid or disallowed identity.</w:t>
            </w:r>
          </w:p>
        </w:tc>
      </w:tr>
      <w:tr>
        <w:trPr>
          <w:cantSplit/>
        </w:trPr>
        <w:tc>
          <w:tcPr>
            <w:tcW w:type="dxa" w:w="2736"/>
            <w:vAlign w:val="center"/>
            <w:tcMar>
              <w:top w:w="90" w:type="dxa"/>
              <w:start w:w="105" w:type="dxa"/>
              <w:bottom w:w="90" w:type="dxa"/>
              <w:end w:w="105" w:type="dxa"/>
            </w:tcMar>
            <w:shd w:fill="F3F6F9"/>
          </w:tcPr>
          <w:p>
            <w:pPr>
              <w:spacing w:after="0" w:line="252" w:lineRule="auto"/>
            </w:pPr>
            <w:r>
              <w:rPr>
                <w:rFonts w:ascii="Calibri" w:hAnsi="Calibri"/>
                <w:color w:val="222222"/>
                <w:sz w:val="17"/>
              </w:rPr>
              <w:t>POST /api/auth/refresh</w:t>
            </w:r>
          </w:p>
        </w:tc>
        <w:tc>
          <w:tcPr>
            <w:tcW w:type="dxa" w:w="2232"/>
            <w:vAlign w:val="center"/>
            <w:tcMar>
              <w:top w:w="90" w:type="dxa"/>
              <w:start w:w="105" w:type="dxa"/>
              <w:bottom w:w="90" w:type="dxa"/>
              <w:end w:w="105" w:type="dxa"/>
            </w:tcMar>
            <w:shd w:fill="F3F6F9"/>
          </w:tcPr>
          <w:p>
            <w:pPr>
              <w:spacing w:after="0" w:line="252" w:lineRule="auto"/>
            </w:pPr>
            <w:r>
              <w:rPr>
                <w:rFonts w:ascii="Calibri" w:hAnsi="Calibri"/>
                <w:color w:val="222222"/>
                <w:sz w:val="17"/>
              </w:rPr>
              <w:t>Refresh cookie, CSRF, Upstash limit</w:t>
            </w:r>
          </w:p>
        </w:tc>
        <w:tc>
          <w:tcPr>
            <w:tcW w:type="dxa" w:w="4680"/>
            <w:vAlign w:val="center"/>
            <w:tcMar>
              <w:top w:w="90" w:type="dxa"/>
              <w:start w:w="105" w:type="dxa"/>
              <w:bottom w:w="90" w:type="dxa"/>
              <w:end w:w="105" w:type="dxa"/>
            </w:tcMar>
            <w:shd w:fill="F3F6F9"/>
          </w:tcPr>
          <w:p>
            <w:pPr>
              <w:spacing w:after="0" w:line="252" w:lineRule="auto"/>
            </w:pPr>
            <w:r>
              <w:rPr>
                <w:rFonts w:ascii="Calibri" w:hAnsi="Calibri"/>
                <w:color w:val="222222"/>
                <w:sz w:val="17"/>
              </w:rPr>
              <w:t>Verify and rotate the stored refresh token; issue a new 15-minute access JWT. Return 401 if the user or session is inactive.</w:t>
            </w:r>
          </w:p>
        </w:tc>
      </w:tr>
      <w:tr>
        <w:trPr>
          <w:cantSplit/>
        </w:trPr>
        <w:tc>
          <w:tcPr>
            <w:tcW w:type="dxa" w:w="2736"/>
            <w:vAlign w:val="center"/>
            <w:tcMar>
              <w:top w:w="90" w:type="dxa"/>
              <w:start w:w="105" w:type="dxa"/>
              <w:bottom w:w="90" w:type="dxa"/>
              <w:end w:w="105" w:type="dxa"/>
            </w:tcMar>
          </w:tcPr>
          <w:p>
            <w:pPr>
              <w:spacing w:after="0" w:line="252" w:lineRule="auto"/>
            </w:pPr>
            <w:r>
              <w:rPr>
                <w:rFonts w:ascii="Calibri" w:hAnsi="Calibri"/>
                <w:color w:val="222222"/>
                <w:sz w:val="17"/>
              </w:rPr>
              <w:t>POST /api/auth/logout</w:t>
            </w:r>
          </w:p>
        </w:tc>
        <w:tc>
          <w:tcPr>
            <w:tcW w:type="dxa" w:w="2232"/>
            <w:vAlign w:val="center"/>
            <w:tcMar>
              <w:top w:w="90" w:type="dxa"/>
              <w:start w:w="105" w:type="dxa"/>
              <w:bottom w:w="90" w:type="dxa"/>
              <w:end w:w="105" w:type="dxa"/>
            </w:tcMar>
          </w:tcPr>
          <w:p>
            <w:pPr>
              <w:spacing w:after="0" w:line="252" w:lineRule="auto"/>
            </w:pPr>
            <w:r>
              <w:rPr>
                <w:rFonts w:ascii="Calibri" w:hAnsi="Calibri"/>
                <w:color w:val="222222"/>
                <w:sz w:val="17"/>
              </w:rPr>
              <w:t>Student session and CSRF</w:t>
            </w:r>
          </w:p>
        </w:tc>
        <w:tc>
          <w:tcPr>
            <w:tcW w:type="dxa" w:w="4680"/>
            <w:vAlign w:val="center"/>
            <w:tcMar>
              <w:top w:w="90" w:type="dxa"/>
              <w:start w:w="105" w:type="dxa"/>
              <w:bottom w:w="90" w:type="dxa"/>
              <w:end w:w="105" w:type="dxa"/>
            </w:tcMar>
          </w:tcPr>
          <w:p>
            <w:pPr>
              <w:spacing w:after="0" w:line="252" w:lineRule="auto"/>
            </w:pPr>
            <w:r>
              <w:rPr>
                <w:rFonts w:ascii="Calibri" w:hAnsi="Calibri"/>
                <w:color w:val="222222"/>
                <w:sz w:val="17"/>
              </w:rPr>
              <w:t>Revoke the current refresh session, clear cookies, and return 204.</w:t>
            </w:r>
          </w:p>
        </w:tc>
      </w:tr>
      <w:tr>
        <w:trPr>
          <w:cantSplit/>
        </w:trPr>
        <w:tc>
          <w:tcPr>
            <w:tcW w:type="dxa" w:w="2736"/>
            <w:vAlign w:val="center"/>
            <w:tcMar>
              <w:top w:w="90" w:type="dxa"/>
              <w:start w:w="105" w:type="dxa"/>
              <w:bottom w:w="90" w:type="dxa"/>
              <w:end w:w="105" w:type="dxa"/>
            </w:tcMar>
            <w:shd w:fill="F3F6F9"/>
          </w:tcPr>
          <w:p>
            <w:pPr>
              <w:spacing w:after="0" w:line="252" w:lineRule="auto"/>
            </w:pPr>
            <w:r>
              <w:rPr>
                <w:rFonts w:ascii="Calibri" w:hAnsi="Calibri"/>
                <w:color w:val="222222"/>
                <w:sz w:val="17"/>
              </w:rPr>
              <w:t>GET /api/users/me</w:t>
            </w:r>
          </w:p>
        </w:tc>
        <w:tc>
          <w:tcPr>
            <w:tcW w:type="dxa" w:w="2232"/>
            <w:vAlign w:val="center"/>
            <w:tcMar>
              <w:top w:w="90" w:type="dxa"/>
              <w:start w:w="105" w:type="dxa"/>
              <w:bottom w:w="90" w:type="dxa"/>
              <w:end w:w="105" w:type="dxa"/>
            </w:tcMar>
            <w:shd w:fill="F3F6F9"/>
          </w:tcPr>
          <w:p>
            <w:pPr>
              <w:spacing w:after="0" w:line="252" w:lineRule="auto"/>
            </w:pPr>
            <w:r>
              <w:rPr>
                <w:rFonts w:ascii="Calibri" w:hAnsi="Calibri"/>
                <w:color w:val="222222"/>
                <w:sz w:val="17"/>
              </w:rPr>
              <w:t>Student session</w:t>
            </w:r>
          </w:p>
        </w:tc>
        <w:tc>
          <w:tcPr>
            <w:tcW w:type="dxa" w:w="4680"/>
            <w:vAlign w:val="center"/>
            <w:tcMar>
              <w:top w:w="90" w:type="dxa"/>
              <w:start w:w="105" w:type="dxa"/>
              <w:bottom w:w="90" w:type="dxa"/>
              <w:end w:w="105" w:type="dxa"/>
            </w:tcMar>
            <w:shd w:fill="F3F6F9"/>
          </w:tcPr>
          <w:p>
            <w:pPr>
              <w:spacing w:after="0" w:line="252" w:lineRule="auto"/>
            </w:pPr>
            <w:r>
              <w:rPr>
                <w:rFonts w:ascii="Calibri" w:hAnsi="Calibri"/>
                <w:color w:val="222222"/>
                <w:sz w:val="17"/>
              </w:rPr>
              <w:t>Return the minimal current profile: internal user ID, email, display name, and account status.</w:t>
            </w:r>
          </w:p>
        </w:tc>
      </w:tr>
      <w:tr>
        <w:trPr>
          <w:cantSplit/>
        </w:trPr>
        <w:tc>
          <w:tcPr>
            <w:tcW w:type="dxa" w:w="2736"/>
            <w:vAlign w:val="center"/>
            <w:tcMar>
              <w:top w:w="90" w:type="dxa"/>
              <w:start w:w="105" w:type="dxa"/>
              <w:bottom w:w="90" w:type="dxa"/>
              <w:end w:w="105" w:type="dxa"/>
            </w:tcMar>
          </w:tcPr>
          <w:p>
            <w:pPr>
              <w:spacing w:after="0" w:line="252" w:lineRule="auto"/>
            </w:pPr>
            <w:r>
              <w:rPr>
                <w:rFonts w:ascii="Calibri" w:hAnsi="Calibri"/>
                <w:color w:val="222222"/>
                <w:sz w:val="17"/>
              </w:rPr>
              <w:t>GET /api/bookmarks</w:t>
            </w:r>
          </w:p>
        </w:tc>
        <w:tc>
          <w:tcPr>
            <w:tcW w:type="dxa" w:w="2232"/>
            <w:vAlign w:val="center"/>
            <w:tcMar>
              <w:top w:w="90" w:type="dxa"/>
              <w:start w:w="105" w:type="dxa"/>
              <w:bottom w:w="90" w:type="dxa"/>
              <w:end w:w="105" w:type="dxa"/>
            </w:tcMar>
          </w:tcPr>
          <w:p>
            <w:pPr>
              <w:spacing w:after="0" w:line="252" w:lineRule="auto"/>
            </w:pPr>
            <w:r>
              <w:rPr>
                <w:rFonts w:ascii="Calibri" w:hAnsi="Calibri"/>
                <w:color w:val="222222"/>
                <w:sz w:val="17"/>
              </w:rPr>
              <w:t>Student session</w:t>
            </w:r>
          </w:p>
        </w:tc>
        <w:tc>
          <w:tcPr>
            <w:tcW w:type="dxa" w:w="4680"/>
            <w:vAlign w:val="center"/>
            <w:tcMar>
              <w:top w:w="90" w:type="dxa"/>
              <w:start w:w="105" w:type="dxa"/>
              <w:bottom w:w="90" w:type="dxa"/>
              <w:end w:w="105" w:type="dxa"/>
            </w:tcMar>
          </w:tcPr>
          <w:p>
            <w:pPr>
              <w:spacing w:after="0" w:line="252" w:lineRule="auto"/>
            </w:pPr>
            <w:r>
              <w:rPr>
                <w:rFonts w:ascii="Calibri" w:hAnsi="Calibri"/>
                <w:color w:val="222222"/>
                <w:sz w:val="17"/>
              </w:rPr>
              <w:t>Return the student's bookmarks with note IDs and creation times.</w:t>
            </w:r>
          </w:p>
        </w:tc>
      </w:tr>
      <w:tr>
        <w:trPr>
          <w:cantSplit/>
        </w:trPr>
        <w:tc>
          <w:tcPr>
            <w:tcW w:type="dxa" w:w="2736"/>
            <w:vAlign w:val="center"/>
            <w:tcMar>
              <w:top w:w="90" w:type="dxa"/>
              <w:start w:w="105" w:type="dxa"/>
              <w:bottom w:w="90" w:type="dxa"/>
              <w:end w:w="105" w:type="dxa"/>
            </w:tcMar>
            <w:shd w:fill="F3F6F9"/>
          </w:tcPr>
          <w:p>
            <w:pPr>
              <w:spacing w:after="0" w:line="252" w:lineRule="auto"/>
            </w:pPr>
            <w:r>
              <w:rPr>
                <w:rFonts w:ascii="Calibri" w:hAnsi="Calibri"/>
                <w:color w:val="222222"/>
                <w:sz w:val="17"/>
              </w:rPr>
              <w:t>PUT /api/bookmarks/{note_id}</w:t>
            </w:r>
          </w:p>
        </w:tc>
        <w:tc>
          <w:tcPr>
            <w:tcW w:type="dxa" w:w="2232"/>
            <w:vAlign w:val="center"/>
            <w:tcMar>
              <w:top w:w="90" w:type="dxa"/>
              <w:start w:w="105" w:type="dxa"/>
              <w:bottom w:w="90" w:type="dxa"/>
              <w:end w:w="105" w:type="dxa"/>
            </w:tcMar>
            <w:shd w:fill="F3F6F9"/>
          </w:tcPr>
          <w:p>
            <w:pPr>
              <w:spacing w:after="0" w:line="252" w:lineRule="auto"/>
            </w:pPr>
            <w:r>
              <w:rPr>
                <w:rFonts w:ascii="Calibri" w:hAnsi="Calibri"/>
                <w:color w:val="222222"/>
                <w:sz w:val="17"/>
              </w:rPr>
              <w:t>Student session and CSRF</w:t>
            </w:r>
          </w:p>
        </w:tc>
        <w:tc>
          <w:tcPr>
            <w:tcW w:type="dxa" w:w="4680"/>
            <w:vAlign w:val="center"/>
            <w:tcMar>
              <w:top w:w="90" w:type="dxa"/>
              <w:start w:w="105" w:type="dxa"/>
              <w:bottom w:w="90" w:type="dxa"/>
              <w:end w:w="105" w:type="dxa"/>
            </w:tcMar>
            <w:shd w:fill="F3F6F9"/>
          </w:tcPr>
          <w:p>
            <w:pPr>
              <w:spacing w:after="0" w:line="252" w:lineRule="auto"/>
            </w:pPr>
            <w:r>
              <w:rPr>
                <w:rFonts w:ascii="Calibri" w:hAnsi="Calibri"/>
                <w:color w:val="222222"/>
                <w:sz w:val="17"/>
              </w:rPr>
              <w:t>Idempotently create a bookmark after confirming the note exists. Return 201 on creation and 200 or 204 if it already exists.</w:t>
            </w:r>
          </w:p>
        </w:tc>
      </w:tr>
      <w:tr>
        <w:trPr>
          <w:cantSplit/>
        </w:trPr>
        <w:tc>
          <w:tcPr>
            <w:tcW w:type="dxa" w:w="2736"/>
            <w:vAlign w:val="center"/>
            <w:tcMar>
              <w:top w:w="90" w:type="dxa"/>
              <w:start w:w="105" w:type="dxa"/>
              <w:bottom w:w="90" w:type="dxa"/>
              <w:end w:w="105" w:type="dxa"/>
            </w:tcMar>
          </w:tcPr>
          <w:p>
            <w:pPr>
              <w:spacing w:after="0" w:line="252" w:lineRule="auto"/>
            </w:pPr>
            <w:r>
              <w:rPr>
                <w:rFonts w:ascii="Calibri" w:hAnsi="Calibri"/>
                <w:color w:val="222222"/>
                <w:sz w:val="17"/>
              </w:rPr>
              <w:t>DELETE /api/bookmarks/{note_id}</w:t>
            </w:r>
          </w:p>
        </w:tc>
        <w:tc>
          <w:tcPr>
            <w:tcW w:type="dxa" w:w="2232"/>
            <w:vAlign w:val="center"/>
            <w:tcMar>
              <w:top w:w="90" w:type="dxa"/>
              <w:start w:w="105" w:type="dxa"/>
              <w:bottom w:w="90" w:type="dxa"/>
              <w:end w:w="105" w:type="dxa"/>
            </w:tcMar>
          </w:tcPr>
          <w:p>
            <w:pPr>
              <w:spacing w:after="0" w:line="252" w:lineRule="auto"/>
            </w:pPr>
            <w:r>
              <w:rPr>
                <w:rFonts w:ascii="Calibri" w:hAnsi="Calibri"/>
                <w:color w:val="222222"/>
                <w:sz w:val="17"/>
              </w:rPr>
              <w:t>Student session and CSRF</w:t>
            </w:r>
          </w:p>
        </w:tc>
        <w:tc>
          <w:tcPr>
            <w:tcW w:type="dxa" w:w="4680"/>
            <w:vAlign w:val="center"/>
            <w:tcMar>
              <w:top w:w="90" w:type="dxa"/>
              <w:start w:w="105" w:type="dxa"/>
              <w:bottom w:w="90" w:type="dxa"/>
              <w:end w:w="105" w:type="dxa"/>
            </w:tcMar>
          </w:tcPr>
          <w:p>
            <w:pPr>
              <w:spacing w:after="0" w:line="252" w:lineRule="auto"/>
            </w:pPr>
            <w:r>
              <w:rPr>
                <w:rFonts w:ascii="Calibri" w:hAnsi="Calibri"/>
                <w:color w:val="222222"/>
                <w:sz w:val="17"/>
              </w:rPr>
              <w:t>Idempotently remove the current student's bookmark and return 204.</w:t>
            </w:r>
          </w:p>
        </w:tc>
      </w:tr>
      <w:tr>
        <w:trPr>
          <w:cantSplit/>
        </w:trPr>
        <w:tc>
          <w:tcPr>
            <w:tcW w:type="dxa" w:w="2736"/>
            <w:vAlign w:val="center"/>
            <w:tcMar>
              <w:top w:w="90" w:type="dxa"/>
              <w:start w:w="105" w:type="dxa"/>
              <w:bottom w:w="90" w:type="dxa"/>
              <w:end w:w="105" w:type="dxa"/>
            </w:tcMar>
            <w:shd w:fill="F3F6F9"/>
          </w:tcPr>
          <w:p>
            <w:pPr>
              <w:spacing w:after="0" w:line="252" w:lineRule="auto"/>
            </w:pPr>
            <w:r>
              <w:rPr>
                <w:rFonts w:ascii="Calibri" w:hAnsi="Calibri"/>
                <w:color w:val="222222"/>
                <w:sz w:val="17"/>
              </w:rPr>
              <w:t>DELETE /api/users/me</w:t>
            </w:r>
          </w:p>
        </w:tc>
        <w:tc>
          <w:tcPr>
            <w:tcW w:type="dxa" w:w="2232"/>
            <w:vAlign w:val="center"/>
            <w:tcMar>
              <w:top w:w="90" w:type="dxa"/>
              <w:start w:w="105" w:type="dxa"/>
              <w:bottom w:w="90" w:type="dxa"/>
              <w:end w:w="105" w:type="dxa"/>
            </w:tcMar>
            <w:shd w:fill="F3F6F9"/>
          </w:tcPr>
          <w:p>
            <w:pPr>
              <w:spacing w:after="0" w:line="252" w:lineRule="auto"/>
            </w:pPr>
            <w:r>
              <w:rPr>
                <w:rFonts w:ascii="Calibri" w:hAnsi="Calibri"/>
                <w:color w:val="222222"/>
                <w:sz w:val="17"/>
              </w:rPr>
              <w:t>Student session and CSRF</w:t>
            </w:r>
          </w:p>
        </w:tc>
        <w:tc>
          <w:tcPr>
            <w:tcW w:type="dxa" w:w="4680"/>
            <w:vAlign w:val="center"/>
            <w:tcMar>
              <w:top w:w="90" w:type="dxa"/>
              <w:start w:w="105" w:type="dxa"/>
              <w:bottom w:w="90" w:type="dxa"/>
              <w:end w:w="105" w:type="dxa"/>
            </w:tcMar>
            <w:shd w:fill="F3F6F9"/>
          </w:tcPr>
          <w:p>
            <w:pPr>
              <w:spacing w:after="0" w:line="252" w:lineRule="auto"/>
            </w:pPr>
            <w:r>
              <w:rPr>
                <w:rFonts w:ascii="Calibri" w:hAnsi="Calibri"/>
                <w:color w:val="222222"/>
                <w:sz w:val="17"/>
              </w:rPr>
              <w:t>Revoke all sessions and remove profile and bookmark data. Return 204.</w:t>
            </w:r>
          </w:p>
        </w:tc>
      </w:tr>
      <w:tr>
        <w:trPr>
          <w:cantSplit/>
        </w:trPr>
        <w:tc>
          <w:tcPr>
            <w:tcW w:type="dxa" w:w="2736"/>
            <w:vAlign w:val="center"/>
            <w:tcMar>
              <w:top w:w="90" w:type="dxa"/>
              <w:start w:w="105" w:type="dxa"/>
              <w:bottom w:w="90" w:type="dxa"/>
              <w:end w:w="105" w:type="dxa"/>
            </w:tcMar>
          </w:tcPr>
          <w:p>
            <w:pPr>
              <w:spacing w:after="0" w:line="252" w:lineRule="auto"/>
            </w:pPr>
            <w:r>
              <w:rPr>
                <w:rFonts w:ascii="Calibri" w:hAnsi="Calibri"/>
                <w:color w:val="222222"/>
                <w:sz w:val="17"/>
              </w:rPr>
              <w:t>GET /data/notes-index.json</w:t>
            </w:r>
          </w:p>
        </w:tc>
        <w:tc>
          <w:tcPr>
            <w:tcW w:type="dxa" w:w="2232"/>
            <w:vAlign w:val="center"/>
            <w:tcMar>
              <w:top w:w="90" w:type="dxa"/>
              <w:start w:w="105" w:type="dxa"/>
              <w:bottom w:w="90" w:type="dxa"/>
              <w:end w:w="105" w:type="dxa"/>
            </w:tcMar>
          </w:tcPr>
          <w:p>
            <w:pPr>
              <w:spacing w:after="0" w:line="252" w:lineRule="auto"/>
            </w:pPr>
            <w:r>
              <w:rPr>
                <w:rFonts w:ascii="Calibri" w:hAnsi="Calibri"/>
                <w:color w:val="222222"/>
                <w:sz w:val="17"/>
              </w:rPr>
              <w:t>Access JWT checked by middleware</w:t>
            </w:r>
          </w:p>
        </w:tc>
        <w:tc>
          <w:tcPr>
            <w:tcW w:type="dxa" w:w="4680"/>
            <w:vAlign w:val="center"/>
            <w:tcMar>
              <w:top w:w="90" w:type="dxa"/>
              <w:start w:w="105" w:type="dxa"/>
              <w:bottom w:w="90" w:type="dxa"/>
              <w:end w:w="105" w:type="dxa"/>
            </w:tcMar>
          </w:tcPr>
          <w:p>
            <w:pPr>
              <w:spacing w:after="0" w:line="252" w:lineRule="auto"/>
            </w:pPr>
            <w:r>
              <w:rPr>
                <w:rFonts w:ascii="Calibri" w:hAnsi="Calibri"/>
                <w:color w:val="222222"/>
                <w:sz w:val="17"/>
              </w:rPr>
              <w:t>Serve the protected generated search index from static storage.</w:t>
            </w:r>
          </w:p>
        </w:tc>
      </w:tr>
      <w:tr>
        <w:trPr>
          <w:cantSplit/>
        </w:trPr>
        <w:tc>
          <w:tcPr>
            <w:tcW w:type="dxa" w:w="2736"/>
            <w:vAlign w:val="center"/>
            <w:tcMar>
              <w:top w:w="90" w:type="dxa"/>
              <w:start w:w="105" w:type="dxa"/>
              <w:bottom w:w="90" w:type="dxa"/>
              <w:end w:w="105" w:type="dxa"/>
            </w:tcMar>
            <w:shd w:fill="F3F6F9"/>
          </w:tcPr>
          <w:p>
            <w:pPr>
              <w:spacing w:after="0" w:line="252" w:lineRule="auto"/>
            </w:pPr>
            <w:r>
              <w:rPr>
                <w:rFonts w:ascii="Calibri" w:hAnsi="Calibri"/>
                <w:color w:val="222222"/>
                <w:sz w:val="17"/>
              </w:rPr>
              <w:t>GET /data/notes/{note_id}.json</w:t>
            </w:r>
          </w:p>
        </w:tc>
        <w:tc>
          <w:tcPr>
            <w:tcW w:type="dxa" w:w="2232"/>
            <w:vAlign w:val="center"/>
            <w:tcMar>
              <w:top w:w="90" w:type="dxa"/>
              <w:start w:w="105" w:type="dxa"/>
              <w:bottom w:w="90" w:type="dxa"/>
              <w:end w:w="105" w:type="dxa"/>
            </w:tcMar>
            <w:shd w:fill="F3F6F9"/>
          </w:tcPr>
          <w:p>
            <w:pPr>
              <w:spacing w:after="0" w:line="252" w:lineRule="auto"/>
            </w:pPr>
            <w:r>
              <w:rPr>
                <w:rFonts w:ascii="Calibri" w:hAnsi="Calibri"/>
                <w:color w:val="222222"/>
                <w:sz w:val="17"/>
              </w:rPr>
              <w:t>Access JWT checked by middleware</w:t>
            </w:r>
          </w:p>
        </w:tc>
        <w:tc>
          <w:tcPr>
            <w:tcW w:type="dxa" w:w="4680"/>
            <w:vAlign w:val="center"/>
            <w:tcMar>
              <w:top w:w="90" w:type="dxa"/>
              <w:start w:w="105" w:type="dxa"/>
              <w:bottom w:w="90" w:type="dxa"/>
              <w:end w:w="105" w:type="dxa"/>
            </w:tcMar>
            <w:shd w:fill="F3F6F9"/>
          </w:tcPr>
          <w:p>
            <w:pPr>
              <w:spacing w:after="0" w:line="252" w:lineRule="auto"/>
            </w:pPr>
            <w:r>
              <w:rPr>
                <w:rFonts w:ascii="Calibri" w:hAnsi="Calibri"/>
                <w:color w:val="222222"/>
                <w:sz w:val="17"/>
              </w:rPr>
              <w:t>Serve one protected approved note. Unknown note IDs return 404.</w:t>
            </w:r>
          </w:p>
        </w:tc>
      </w:tr>
    </w:tbl>
    <w:p/>
    <w:p>
      <w:pPr>
        <w:pStyle w:val="Heading2"/>
        <w:keepNext/>
      </w:pPr>
      <w:r>
        <w:t>API Rules</w:t>
      </w:r>
    </w:p>
    <w:p>
      <w:pPr>
        <w:pStyle w:val="ListBullet"/>
      </w:pPr>
      <w:r>
        <w:t>Use JSON request and response bodies except for empty 204 responses. Validate all fields with Pydantic models.</w:t>
      </w:r>
    </w:p>
    <w:p>
      <w:pPr>
        <w:pStyle w:val="ListBullet"/>
      </w:pPr>
      <w:r>
        <w:t>Use a common error body with a stable error code, short user-safe message, and request ID. Never return stack traces, tokens, cookies, or internal secrets.</w:t>
      </w:r>
    </w:p>
    <w:p>
      <w:pPr>
        <w:pStyle w:val="ListBullet"/>
      </w:pPr>
      <w:r>
        <w:t>Return 401 for missing or expired authentication, 403 for a valid account without access, 404 for unknown resources, 422 for invalid input, and 429 for enforced rate limits.</w:t>
      </w:r>
    </w:p>
    <w:p>
      <w:pPr>
        <w:pStyle w:val="ListBullet"/>
      </w:pPr>
      <w:r>
        <w:t>Apply the shared Redis-backed limits below to the public authentication endpoints. Do not treat in-memory per-process counters as a global rate limiter across serverless instances.</w:t>
      </w:r>
    </w:p>
    <w:p>
      <w:pPr>
        <w:pStyle w:val="ListBullet"/>
      </w:pPr>
      <w:r>
        <w:t>Set bookmark input limits, validate note IDs against the generated manifest, and make writes idempotent.</w:t>
      </w:r>
    </w:p>
    <w:p>
      <w:pPr>
        <w:pStyle w:val="Heading2"/>
        <w:keepNext/>
      </w:pPr>
      <w:r>
        <w:t>Distributed Rate Limiting</w:t>
      </w:r>
    </w:p>
    <w:p>
      <w:pPr>
        <w:pStyle w:val="ListBullet"/>
      </w:pPr>
      <w:r>
        <w:t>Use the Upstash Redis Marketplace integration and the maintained Upstash Python rate-limit SDK with a sliding-window limiter for Google login and refresh endpoints. Vercel KV is no longer provisioned for new projects; use the current Redis Marketplace integration.</w:t>
      </w:r>
    </w:p>
    <w:p>
      <w:pPr>
        <w:pStyle w:val="ListBullet"/>
      </w:pPr>
      <w:r>
        <w:t>Use separate limits for login by source IP and normalized email, and for refresh by session or user. Derive client IP only from Vercel's trusted request metadata; do not blindly trust client-supplied X-Forwarded-For values. HMAC identifiers before placing email or IP-derived values in Redis keys. Set and document initial thresholds after considering shared campus NAT traffic; make them configuration, not hidden constants.</w:t>
      </w:r>
    </w:p>
    <w:p>
      <w:pPr>
        <w:pStyle w:val="ListBullet"/>
      </w:pPr>
      <w:r>
        <w:t>Initialize the Redis client and limiter outside request handlers for warm-instance reuse. Keep credentials server-only. Expiring limiter keys and minimal retention are required.</w:t>
      </w:r>
    </w:p>
    <w:p>
      <w:pPr>
        <w:pStyle w:val="ListBullet"/>
      </w:pPr>
      <w:r>
        <w:t>If Redis is unavailable, fail closed for endpoints that require the limiter with a short 503 response and alert; never silently fall back to an instance-local counter or disable the limit. Vercel Firewall rules may add IP-level protection but do not replace application-level account-aware limits.</w:t>
      </w:r>
    </w:p>
    <w:p>
      <w:pPr>
        <w:pStyle w:val="ListBullet"/>
      </w:pPr>
      <w:r>
        <w:t>Track command usage, errors, rate-limit decisions, and free-tier quota. The limiter is scoped to abuse-sensitive API calls; note reads do not call Redis.</w:t>
      </w:r>
    </w:p>
    <w:p>
      <w:pPr>
        <w:pStyle w:val="Heading1"/>
        <w:keepNext/>
      </w:pPr>
      <w:r>
        <w:t>6 Data Models</w:t>
      </w:r>
    </w:p>
    <w:p>
      <w:pPr>
        <w:pStyle w:val="Heading2"/>
        <w:keepNext/>
      </w:pPr>
      <w:r>
        <w:t>User</w:t>
      </w:r>
    </w:p>
    <w:p>
      <w:r>
        <w:t>Store only fields needed for login and ownership: internal ID, google_sub_id, email, display_name, status, created_at, and updated_at. Do not parse graduation year, roll number, branch, or term from email. Do not store Google ID tokens.</w:t>
      </w:r>
    </w:p>
    <w:p>
      <w:pPr>
        <w:pStyle w:val="Heading2"/>
        <w:keepNext/>
      </w:pPr>
      <w:r>
        <w:t>Refresh Session</w:t>
      </w:r>
    </w:p>
    <w:p>
      <w:r>
        <w:t>Store session ID, user ID, refresh_token_hash, created_at, last_used_at, expires_at, and revoked_at in MongoDB. Never store the plaintext refresh token. Enforce expiry on every refresh and remove expired records through TTL or an equivalent cleanup process supported by the selected Atlas tier. Keep these records in MongoDB for straightforward persistence, account-wide revocation, and deletion; do not add Redis session state just to reduce occasional refresh queries. Reconsider only if measured database load justifies the extra revocation path.</w:t>
      </w:r>
    </w:p>
    <w:p>
      <w:pPr>
        <w:pStyle w:val="Heading2"/>
        <w:keepNext/>
      </w:pPr>
      <w:r>
        <w:t>Bookmark</w:t>
      </w:r>
    </w:p>
    <w:p>
      <w:r>
        <w:t>Store internal ID, user_id, note_id, and created_at. Add a unique compound index on user_id and note_id so a student cannot create duplicate bookmarks.</w:t>
      </w:r>
    </w:p>
    <w:p>
      <w:pPr>
        <w:pStyle w:val="Heading2"/>
        <w:keepNext/>
      </w:pPr>
      <w:r>
        <w:t>Indexes</w:t>
      </w:r>
    </w:p>
    <w:p>
      <w:pPr>
        <w:pStyle w:val="ListBullet"/>
      </w:pPr>
      <w:r>
        <w:t>Users: unique index on google_sub_id. Email may have a secondary lookup index, but it is not the authentication identity key.</w:t>
      </w:r>
    </w:p>
    <w:p>
      <w:pPr>
        <w:pStyle w:val="ListBullet"/>
      </w:pPr>
      <w:r>
        <w:t>Sessions: unique index on refresh_token_hash and an expiry index on expires_at.</w:t>
      </w:r>
    </w:p>
    <w:p>
      <w:pPr>
        <w:pStyle w:val="ListBullet"/>
      </w:pPr>
      <w:r>
        <w:t>Bookmarks: unique compound index on user_id and note_id; add a user_id plus created_at index for listing.</w:t>
      </w:r>
    </w:p>
    <w:p>
      <w:pPr>
        <w:pStyle w:val="ListBullet"/>
      </w:pPr>
      <w:r>
        <w:t>Do not create Activity or Comments collections for this MVP.</w:t>
      </w:r>
    </w:p>
    <w:p>
      <w:pPr>
        <w:pStyle w:val="Heading2"/>
        <w:keepNext/>
      </w:pPr>
      <w:r>
        <w:t>Static Note JSON</w:t>
      </w:r>
    </w:p>
    <w:p>
      <w:r>
        <w:t>Each approved note uses schema version 1 and contains the fields below. The search index is generated from approved notes during the build.</w:t>
      </w:r>
    </w:p>
    <w:tbl>
      <w:tblPr>
        <w:tblW w:type="auto" w:w="0"/>
        <w:jc w:val="center"/>
        <w:tblLayout w:type="fixed"/>
        <w:tblLook w:firstColumn="1" w:firstRow="1" w:lastColumn="0" w:lastRow="0" w:noHBand="0" w:noVBand="1" w:val="04A0"/>
        <w:tblBorders>
          <w:top w:val="single" w:sz="5" w:space="0" w:color="D9DDE3"/>
          <w:left w:val="single" w:sz="5" w:space="0" w:color="D9DDE3"/>
          <w:bottom w:val="single" w:sz="5" w:space="0" w:color="D9DDE3"/>
          <w:right w:val="single" w:sz="5" w:space="0" w:color="D9DDE3"/>
          <w:insideH w:val="single" w:sz="5" w:space="0" w:color="D9DDE3"/>
          <w:insideV w:val="single" w:sz="5" w:space="0" w:color="D9DDE3"/>
        </w:tblBorders>
      </w:tblPr>
      <w:tblGrid>
        <w:gridCol w:w="4831"/>
        <w:gridCol w:w="4831"/>
      </w:tblGrid>
      <w:tr>
        <w:trPr>
          <w:tblHeader w:val="true"/>
        </w:trPr>
        <w:tc>
          <w:tcPr>
            <w:tcW w:type="dxa" w:w="2880"/>
            <w:vAlign w:val="center"/>
            <w:shd w:fill="253A5B"/>
            <w:tcMar>
              <w:top w:w="90" w:type="dxa"/>
              <w:start w:w="105" w:type="dxa"/>
              <w:bottom w:w="90" w:type="dxa"/>
              <w:end w:w="105" w:type="dxa"/>
            </w:tcMar>
          </w:tcPr>
          <w:p>
            <w:pPr>
              <w:spacing w:after="0"/>
            </w:pPr>
            <w:r>
              <w:rPr>
                <w:rFonts w:ascii="Calibri" w:hAnsi="Calibri"/>
                <w:b/>
                <w:color w:val="FFFFFF"/>
                <w:sz w:val="18"/>
              </w:rPr>
              <w:t>Field</w:t>
            </w:r>
          </w:p>
        </w:tc>
        <w:tc>
          <w:tcPr>
            <w:tcW w:type="dxa" w:w="6768"/>
            <w:vAlign w:val="center"/>
            <w:shd w:fill="253A5B"/>
            <w:tcMar>
              <w:top w:w="90" w:type="dxa"/>
              <w:start w:w="105" w:type="dxa"/>
              <w:bottom w:w="90" w:type="dxa"/>
              <w:end w:w="105" w:type="dxa"/>
            </w:tcMar>
          </w:tcPr>
          <w:p>
            <w:pPr>
              <w:spacing w:after="0"/>
            </w:pPr>
            <w:r>
              <w:rPr>
                <w:rFonts w:ascii="Calibri" w:hAnsi="Calibri"/>
                <w:b/>
                <w:color w:val="FFFFFF"/>
                <w:sz w:val="18"/>
              </w:rPr>
              <w:t>Purpose</w:t>
            </w:r>
          </w:p>
        </w:tc>
      </w:tr>
      <w:tr>
        <w:trPr>
          <w:cantSplit/>
        </w:trPr>
        <w:tc>
          <w:tcPr>
            <w:tcW w:type="dxa" w:w="2880"/>
            <w:vAlign w:val="center"/>
            <w:tcMar>
              <w:top w:w="90" w:type="dxa"/>
              <w:start w:w="105" w:type="dxa"/>
              <w:bottom w:w="90" w:type="dxa"/>
              <w:end w:w="105" w:type="dxa"/>
            </w:tcMar>
          </w:tcPr>
          <w:p>
            <w:pPr>
              <w:spacing w:after="0" w:line="252" w:lineRule="auto"/>
            </w:pPr>
            <w:r>
              <w:rPr>
                <w:rFonts w:ascii="Calibri" w:hAnsi="Calibri"/>
                <w:color w:val="222222"/>
                <w:sz w:val="18"/>
              </w:rPr>
              <w:t>schema_version</w:t>
            </w:r>
          </w:p>
        </w:tc>
        <w:tc>
          <w:tcPr>
            <w:tcW w:type="dxa" w:w="6768"/>
            <w:vAlign w:val="center"/>
            <w:tcMar>
              <w:top w:w="90" w:type="dxa"/>
              <w:start w:w="105" w:type="dxa"/>
              <w:bottom w:w="90" w:type="dxa"/>
              <w:end w:w="105" w:type="dxa"/>
            </w:tcMar>
          </w:tcPr>
          <w:p>
            <w:pPr>
              <w:spacing w:after="0" w:line="252" w:lineRule="auto"/>
            </w:pPr>
            <w:r>
              <w:rPr>
                <w:rFonts w:ascii="Calibri" w:hAnsi="Calibri"/>
                <w:color w:val="222222"/>
                <w:sz w:val="18"/>
              </w:rPr>
              <w:t>Enables validation and future migrations.</w:t>
            </w:r>
          </w:p>
        </w:tc>
      </w:tr>
      <w:tr>
        <w:trPr>
          <w:cantSplit/>
        </w:trPr>
        <w:tc>
          <w:tcPr>
            <w:tcW w:type="dxa" w:w="2880"/>
            <w:vAlign w:val="center"/>
            <w:tcMar>
              <w:top w:w="90" w:type="dxa"/>
              <w:start w:w="105" w:type="dxa"/>
              <w:bottom w:w="90" w:type="dxa"/>
              <w:end w:w="105" w:type="dxa"/>
            </w:tcMar>
            <w:shd w:fill="F3F6F9"/>
          </w:tcPr>
          <w:p>
            <w:pPr>
              <w:spacing w:after="0" w:line="252" w:lineRule="auto"/>
            </w:pPr>
            <w:r>
              <w:rPr>
                <w:rFonts w:ascii="Calibri" w:hAnsi="Calibri"/>
                <w:color w:val="222222"/>
                <w:sz w:val="18"/>
              </w:rPr>
              <w:t>note_id</w:t>
            </w:r>
          </w:p>
        </w:tc>
        <w:tc>
          <w:tcPr>
            <w:tcW w:type="dxa" w:w="6768"/>
            <w:vAlign w:val="center"/>
            <w:tcMar>
              <w:top w:w="90" w:type="dxa"/>
              <w:start w:w="105" w:type="dxa"/>
              <w:bottom w:w="90" w:type="dxa"/>
              <w:end w:w="105" w:type="dxa"/>
            </w:tcMar>
            <w:shd w:fill="F3F6F9"/>
          </w:tcPr>
          <w:p>
            <w:pPr>
              <w:spacing w:after="0" w:line="252" w:lineRule="auto"/>
            </w:pPr>
            <w:r>
              <w:rPr>
                <w:rFonts w:ascii="Calibri" w:hAnsi="Calibri"/>
                <w:color w:val="222222"/>
                <w:sz w:val="18"/>
              </w:rPr>
              <w:t>Stable lowercase identifier used by routes and bookmarks.</w:t>
            </w:r>
          </w:p>
        </w:tc>
      </w:tr>
      <w:tr>
        <w:trPr>
          <w:cantSplit/>
        </w:trPr>
        <w:tc>
          <w:tcPr>
            <w:tcW w:type="dxa" w:w="2880"/>
            <w:vAlign w:val="center"/>
            <w:tcMar>
              <w:top w:w="90" w:type="dxa"/>
              <w:start w:w="105" w:type="dxa"/>
              <w:bottom w:w="90" w:type="dxa"/>
              <w:end w:w="105" w:type="dxa"/>
            </w:tcMar>
          </w:tcPr>
          <w:p>
            <w:pPr>
              <w:spacing w:after="0" w:line="252" w:lineRule="auto"/>
            </w:pPr>
            <w:r>
              <w:rPr>
                <w:rFonts w:ascii="Calibri" w:hAnsi="Calibri"/>
                <w:color w:val="222222"/>
                <w:sz w:val="18"/>
              </w:rPr>
              <w:t>term, subject_code, topic_title</w:t>
            </w:r>
          </w:p>
        </w:tc>
        <w:tc>
          <w:tcPr>
            <w:tcW w:type="dxa" w:w="6768"/>
            <w:vAlign w:val="center"/>
            <w:tcMar>
              <w:top w:w="90" w:type="dxa"/>
              <w:start w:w="105" w:type="dxa"/>
              <w:bottom w:w="90" w:type="dxa"/>
              <w:end w:w="105" w:type="dxa"/>
            </w:tcMar>
          </w:tcPr>
          <w:p>
            <w:pPr>
              <w:spacing w:after="0" w:line="252" w:lineRule="auto"/>
            </w:pPr>
            <w:r>
              <w:rPr>
                <w:rFonts w:ascii="Calibri" w:hAnsi="Calibri"/>
                <w:color w:val="222222"/>
                <w:sz w:val="18"/>
              </w:rPr>
              <w:t>Curriculum location and display title.</w:t>
            </w:r>
          </w:p>
        </w:tc>
      </w:tr>
      <w:tr>
        <w:trPr>
          <w:cantSplit/>
        </w:trPr>
        <w:tc>
          <w:tcPr>
            <w:tcW w:type="dxa" w:w="2880"/>
            <w:vAlign w:val="center"/>
            <w:tcMar>
              <w:top w:w="90" w:type="dxa"/>
              <w:start w:w="105" w:type="dxa"/>
              <w:bottom w:w="90" w:type="dxa"/>
              <w:end w:w="105" w:type="dxa"/>
            </w:tcMar>
            <w:shd w:fill="F3F6F9"/>
          </w:tcPr>
          <w:p>
            <w:pPr>
              <w:spacing w:after="0" w:line="252" w:lineRule="auto"/>
            </w:pPr>
            <w:r>
              <w:rPr>
                <w:rFonts w:ascii="Calibri" w:hAnsi="Calibri"/>
                <w:color w:val="222222"/>
                <w:sz w:val="18"/>
              </w:rPr>
              <w:t>tags, learning_objectives</w:t>
            </w:r>
          </w:p>
        </w:tc>
        <w:tc>
          <w:tcPr>
            <w:tcW w:type="dxa" w:w="6768"/>
            <w:vAlign w:val="center"/>
            <w:tcMar>
              <w:top w:w="90" w:type="dxa"/>
              <w:start w:w="105" w:type="dxa"/>
              <w:bottom w:w="90" w:type="dxa"/>
              <w:end w:w="105" w:type="dxa"/>
            </w:tcMar>
            <w:shd w:fill="F3F6F9"/>
          </w:tcPr>
          <w:p>
            <w:pPr>
              <w:spacing w:after="0" w:line="252" w:lineRule="auto"/>
            </w:pPr>
            <w:r>
              <w:rPr>
                <w:rFonts w:ascii="Calibri" w:hAnsi="Calibri"/>
                <w:color w:val="222222"/>
                <w:sz w:val="18"/>
              </w:rPr>
              <w:t>Search facets and the intended learning outcomes.</w:t>
            </w:r>
          </w:p>
        </w:tc>
      </w:tr>
      <w:tr>
        <w:trPr>
          <w:cantSplit/>
        </w:trPr>
        <w:tc>
          <w:tcPr>
            <w:tcW w:type="dxa" w:w="2880"/>
            <w:vAlign w:val="center"/>
            <w:tcMar>
              <w:top w:w="90" w:type="dxa"/>
              <w:start w:w="105" w:type="dxa"/>
              <w:bottom w:w="90" w:type="dxa"/>
              <w:end w:w="105" w:type="dxa"/>
            </w:tcMar>
          </w:tcPr>
          <w:p>
            <w:pPr>
              <w:spacing w:after="0" w:line="252" w:lineRule="auto"/>
            </w:pPr>
            <w:r>
              <w:rPr>
                <w:rFonts w:ascii="Calibri" w:hAnsi="Calibri"/>
                <w:color w:val="222222"/>
                <w:sz w:val="18"/>
              </w:rPr>
              <w:t>summary, key_takeaways</w:t>
            </w:r>
          </w:p>
        </w:tc>
        <w:tc>
          <w:tcPr>
            <w:tcW w:type="dxa" w:w="6768"/>
            <w:vAlign w:val="center"/>
            <w:tcMar>
              <w:top w:w="90" w:type="dxa"/>
              <w:start w:w="105" w:type="dxa"/>
              <w:bottom w:w="90" w:type="dxa"/>
              <w:end w:w="105" w:type="dxa"/>
            </w:tcMar>
          </w:tcPr>
          <w:p>
            <w:pPr>
              <w:spacing w:after="0" w:line="252" w:lineRule="auto"/>
            </w:pPr>
            <w:r>
              <w:rPr>
                <w:rFonts w:ascii="Calibri" w:hAnsi="Calibri"/>
                <w:color w:val="222222"/>
                <w:sz w:val="18"/>
              </w:rPr>
              <w:t>Short student-facing overview and main points.</w:t>
            </w:r>
          </w:p>
        </w:tc>
      </w:tr>
      <w:tr>
        <w:trPr>
          <w:cantSplit/>
        </w:trPr>
        <w:tc>
          <w:tcPr>
            <w:tcW w:type="dxa" w:w="2880"/>
            <w:vAlign w:val="center"/>
            <w:tcMar>
              <w:top w:w="90" w:type="dxa"/>
              <w:start w:w="105" w:type="dxa"/>
              <w:bottom w:w="90" w:type="dxa"/>
              <w:end w:w="105" w:type="dxa"/>
            </w:tcMar>
            <w:shd w:fill="F3F6F9"/>
          </w:tcPr>
          <w:p>
            <w:pPr>
              <w:spacing w:after="0" w:line="252" w:lineRule="auto"/>
            </w:pPr>
            <w:r>
              <w:rPr>
                <w:rFonts w:ascii="Calibri" w:hAnsi="Calibri"/>
                <w:color w:val="222222"/>
                <w:sz w:val="18"/>
              </w:rPr>
              <w:t>sections</w:t>
            </w:r>
          </w:p>
        </w:tc>
        <w:tc>
          <w:tcPr>
            <w:tcW w:type="dxa" w:w="6768"/>
            <w:vAlign w:val="center"/>
            <w:tcMar>
              <w:top w:w="90" w:type="dxa"/>
              <w:start w:w="105" w:type="dxa"/>
              <w:bottom w:w="90" w:type="dxa"/>
              <w:end w:w="105" w:type="dxa"/>
            </w:tcMar>
            <w:shd w:fill="F3F6F9"/>
          </w:tcPr>
          <w:p>
            <w:pPr>
              <w:spacing w:after="0" w:line="252" w:lineRule="auto"/>
            </w:pPr>
            <w:r>
              <w:rPr>
                <w:rFonts w:ascii="Calibri" w:hAnsi="Calibri"/>
                <w:color w:val="222222"/>
                <w:sz w:val="18"/>
              </w:rPr>
              <w:t>Ordered list of section ID, heading, Markdown body, and source citations.</w:t>
            </w:r>
          </w:p>
        </w:tc>
      </w:tr>
      <w:tr>
        <w:trPr>
          <w:cantSplit/>
        </w:trPr>
        <w:tc>
          <w:tcPr>
            <w:tcW w:type="dxa" w:w="2880"/>
            <w:vAlign w:val="center"/>
            <w:tcMar>
              <w:top w:w="90" w:type="dxa"/>
              <w:start w:w="105" w:type="dxa"/>
              <w:bottom w:w="90" w:type="dxa"/>
              <w:end w:w="105" w:type="dxa"/>
            </w:tcMar>
          </w:tcPr>
          <w:p>
            <w:pPr>
              <w:spacing w:after="0" w:line="252" w:lineRule="auto"/>
            </w:pPr>
            <w:r>
              <w:rPr>
                <w:rFonts w:ascii="Calibri" w:hAnsi="Calibri"/>
                <w:color w:val="222222"/>
                <w:sz w:val="18"/>
              </w:rPr>
              <w:t>last_updated, approval_status</w:t>
            </w:r>
          </w:p>
        </w:tc>
        <w:tc>
          <w:tcPr>
            <w:tcW w:type="dxa" w:w="6768"/>
            <w:vAlign w:val="center"/>
            <w:tcMar>
              <w:top w:w="90" w:type="dxa"/>
              <w:start w:w="105" w:type="dxa"/>
              <w:bottom w:w="90" w:type="dxa"/>
              <w:end w:w="105" w:type="dxa"/>
            </w:tcMar>
          </w:tcPr>
          <w:p>
            <w:pPr>
              <w:spacing w:after="0" w:line="252" w:lineRule="auto"/>
            </w:pPr>
            <w:r>
              <w:rPr>
                <w:rFonts w:ascii="Calibri" w:hAnsi="Calibri"/>
                <w:color w:val="222222"/>
                <w:sz w:val="18"/>
              </w:rPr>
              <w:t>Publication time and approved state. Only approved notes are included in the build.</w:t>
            </w:r>
          </w:p>
        </w:tc>
      </w:tr>
    </w:tbl>
    <w:p/>
    <w:p>
      <w:pPr>
        <w:pStyle w:val="Heading1"/>
        <w:keepNext/>
      </w:pPr>
      <w:r>
        <w:t>7 Content Review and Publishing</w:t>
      </w:r>
    </w:p>
    <w:p>
      <w:pPr>
        <w:pStyle w:val="ListNumber"/>
      </w:pPr>
      <w:r>
        <w:t>An administrator adds a cleared student-authored note to a content branch in the private repository.</w:t>
      </w:r>
    </w:p>
    <w:p>
      <w:pPr>
        <w:pStyle w:val="ListNumber"/>
      </w:pPr>
      <w:r>
        <w:t>A build-time validator checks JSON schema, unique IDs, required citations, allowed Markdown constructs, and references between the note and manifest.</w:t>
      </w:r>
    </w:p>
    <w:p>
      <w:pPr>
        <w:pStyle w:val="ListNumber"/>
      </w:pPr>
      <w:r>
        <w:t>A human reviewer checks technical accuracy, source rights, privacy, and formatting. The build rejects notes without approved status.</w:t>
      </w:r>
    </w:p>
    <w:p>
      <w:pPr>
        <w:pStyle w:val="ListNumber"/>
      </w:pPr>
      <w:r>
        <w:t>A pull request is merged after review. Vercel deploys the note, manifest, and search index as one versioned deployment.</w:t>
      </w:r>
    </w:p>
    <w:p>
      <w:pPr>
        <w:pStyle w:val="ListNumber"/>
      </w:pPr>
      <w:r>
        <w:t>The reviewer verifies the production alias serves the new note and that anonymous access still receives 401. Roll back by reverting the content commit or deployment.</w:t>
      </w:r>
    </w:p>
    <w:p>
      <w:r>
        <w:t>The project may later add an administrator tool that uses Gemini 3.8 Flash to draft JSON from student-generated source notes. That workflow must never publish automatically, must retain section-level source references, and must route every result through the same human review. The student website does not call the Gemini API.</w:t>
      </w:r>
    </w:p>
    <w:p>
      <w:pPr>
        <w:pStyle w:val="Heading1"/>
        <w:keepNext/>
      </w:pPr>
      <w:r>
        <w:t>8 Frontend and Reader Behavior</w:t>
      </w:r>
    </w:p>
    <w:p>
      <w:pPr>
        <w:pStyle w:val="ListBullet"/>
      </w:pPr>
      <w:r>
        <w:t>Use React with Vite and TypeScript. Keep API, content loading, reader components, search, bookmarks, and themes in separate modules.</w:t>
      </w:r>
    </w:p>
    <w:p>
      <w:pPr>
        <w:pStyle w:val="ListBullet"/>
      </w:pPr>
      <w:r>
        <w:t>Retain the three-panel desktop reader: navigation on the left, note content in the center, and a table of contents on the right. On mobile, use an accessible navigation drawer and a collapsible table of contents.</w:t>
      </w:r>
    </w:p>
    <w:p>
      <w:pPr>
        <w:pStyle w:val="ListBullet"/>
      </w:pPr>
      <w:r>
        <w:t>Provide search by title, summary, term, subject, and tags. The MVP index is metadata-only; full body search is a later decision.</w:t>
      </w:r>
    </w:p>
    <w:p>
      <w:pPr>
        <w:pStyle w:val="ListBullet"/>
      </w:pPr>
      <w:r>
        <w:t>Provide add/remove bookmark actions and a private bookmark page. Make loading, empty, and error states explicit.</w:t>
      </w:r>
    </w:p>
    <w:p>
      <w:pPr>
        <w:pStyle w:val="ListBullet"/>
      </w:pPr>
      <w:r>
        <w:t>Use optimistic bookmark updates: toggle the control immediately, send the idempotent request in the background, and roll back to the last server-confirmed state with a clear retry message if the request fails. Do not claim this removes backend latency; it keeps the interaction responsive while the request is pending.</w:t>
      </w:r>
    </w:p>
    <w:p>
      <w:pPr>
        <w:pStyle w:val="ListBullet"/>
      </w:pPr>
      <w:r>
        <w:t>Do not precache protected note JSON or search-index responses in browser Cache Storage. If a service worker is added later, cache only the public application shell unless offline content retention is explicitly approved.</w:t>
      </w:r>
    </w:p>
    <w:p>
      <w:pPr>
        <w:pStyle w:val="ListBullet"/>
      </w:pPr>
      <w:r>
        <w:t>Support the selected oled-slate, minimalist-midnight, and clean-light themes through CSS tokens. Check text, links, controls, focus, and code contrast in every theme.</w:t>
      </w:r>
    </w:p>
    <w:p>
      <w:pPr>
        <w:pStyle w:val="ListBullet"/>
      </w:pPr>
      <w:r>
        <w:t>Use semantic landmarks and keyboard access. Icon-only buttons need accessible names. Respect reduced-motion preferences and visible focus outlines.</w:t>
      </w:r>
    </w:p>
    <w:p>
      <w:pPr>
        <w:pStyle w:val="Heading2"/>
        <w:keepNext/>
      </w:pPr>
      <w:r>
        <w:t>Markdown Safety</w:t>
      </w:r>
    </w:p>
    <w:p>
      <w:pPr>
        <w:pStyle w:val="ListBullet"/>
      </w:pPr>
      <w:r>
        <w:t>Use react-markdown with raw HTML disabled. Do not use dangerouslySetInnerHTML for note content.</w:t>
      </w:r>
    </w:p>
    <w:p>
      <w:pPr>
        <w:pStyle w:val="ListBullet"/>
      </w:pPr>
      <w:r>
        <w:t>Allow only safe link protocols and relative note anchors. External links open with rel=noopener and rel=noreferrer.</w:t>
      </w:r>
    </w:p>
    <w:p>
      <w:pPr>
        <w:pStyle w:val="ListBullet"/>
      </w:pPr>
      <w:r>
        <w:t>Render KaTeX with trust disabled. Treat all repository content as untrusted input even after review.</w:t>
      </w:r>
    </w:p>
    <w:p>
      <w:pPr>
        <w:pStyle w:val="ListBullet"/>
      </w:pPr>
      <w:r>
        <w:t>Show Mermaid blocks as code in the MVP. Do not render generated SVG or execute code in the browser.</w:t>
      </w:r>
    </w:p>
    <w:p>
      <w:pPr>
        <w:pStyle w:val="Heading1"/>
        <w:keepNext/>
      </w:pPr>
      <w:r>
        <w:t>9 Deployment and Operations</w:t>
      </w:r>
    </w:p>
    <w:p>
      <w:pPr>
        <w:pStyle w:val="Heading2"/>
        <w:keepNext/>
      </w:pPr>
      <w:r>
        <w:t>Hosting</w:t>
      </w:r>
    </w:p>
    <w:p>
      <w:pPr>
        <w:pStyle w:val="ListBullet"/>
      </w:pPr>
      <w:r>
        <w:t>Preferred MVP: Vercel for the Vite app, Routing Middleware, static notes, and FastAPI Python Function on one origin; MongoDB Atlas for user state; Upstash Redis for distributed authentication rate limiting.</w:t>
      </w:r>
    </w:p>
    <w:p>
      <w:pPr>
        <w:pStyle w:val="ListBullet"/>
      </w:pPr>
      <w:r>
        <w:t>The Vercel Python runtime is documented as beta. A staging deployment must demonstrate that Vite assets, Python routes, and Routing Middleware all work together before production approval.</w:t>
      </w:r>
    </w:p>
    <w:p>
      <w:pPr>
        <w:pStyle w:val="ListBullet"/>
      </w:pPr>
      <w:r>
        <w:t>Use a private GitHub repository. Configure production and preview environment variables separately. Put secrets only in server-side Vercel variables and local ignored environment files.</w:t>
      </w:r>
    </w:p>
    <w:p>
      <w:pPr>
        <w:pStyle w:val="ListBullet"/>
      </w:pPr>
      <w:r>
        <w:t>Vercel Functions use dynamic egress IPs by default. Vercel Static IPs are available on Pro and Enterprise and apply to Vercel Functions (not Routing Middleware); if using an eligible plan, allowlist the function egress pair in Atlas. If using Hobby/free Vercel, a narrow stable allowlist is not available by default and Atlas may require 0.0.0.0/0. Treat that as an explicit owner-approved security exception or change the hosting/network plan before production; never describe it as a restricted allowlist.</w:t>
      </w:r>
    </w:p>
    <w:p>
      <w:pPr>
        <w:pStyle w:val="ListBullet"/>
      </w:pPr>
      <w:r>
        <w:t>Whether the Atlas IP list is narrow or broad, use a unique high-entropy database credential, a dedicated least-privilege database user, TLS, secret rotation, and no database credentials in browser code. A broad IP list increases network reachability and is not made equivalent to a narrow allowlist by strong credentials.</w:t>
      </w:r>
    </w:p>
    <w:p>
      <w:pPr>
        <w:pStyle w:val="ListBullet"/>
      </w:pPr>
      <w:r>
        <w:t>Keep development, preview, and production client IDs, OAuth origins, signing keys, and database credentials separate.</w:t>
      </w:r>
    </w:p>
    <w:p>
      <w:pPr>
        <w:pStyle w:val="Heading2"/>
        <w:keepNext/>
      </w:pPr>
      <w:r>
        <w:t>Routing Configuration and vercel.json</w:t>
      </w:r>
    </w:p>
    <w:p>
      <w:r>
        <w:t>Commit the exact vercel.json and Routing Middleware matcher with the application. Do not paste a generic catch-all rewrite without checking the actual Vite build output, FastAPI entrypoint, and Vercel framework behavior. Vercel may serve static files and FastAPI routes through different build outputs; a same-project Vite/FastAPI deployment must be demonstrated in preview.</w:t>
      </w:r>
    </w:p>
    <w:tbl>
      <w:tblPr>
        <w:tblW w:type="auto" w:w="0"/>
        <w:jc w:val="center"/>
        <w:tblLayout w:type="fixed"/>
        <w:tblLook w:firstColumn="1" w:firstRow="1" w:lastColumn="0" w:lastRow="0" w:noHBand="0" w:noVBand="1" w:val="04A0"/>
        <w:tblBorders>
          <w:top w:val="single" w:sz="5" w:space="0" w:color="D9DDE3"/>
          <w:left w:val="single" w:sz="5" w:space="0" w:color="D9DDE3"/>
          <w:bottom w:val="single" w:sz="5" w:space="0" w:color="D9DDE3"/>
          <w:right w:val="single" w:sz="5" w:space="0" w:color="D9DDE3"/>
          <w:insideH w:val="single" w:sz="5" w:space="0" w:color="D9DDE3"/>
          <w:insideV w:val="single" w:sz="5" w:space="0" w:color="D9DDE3"/>
        </w:tblBorders>
      </w:tblPr>
      <w:tblGrid>
        <w:gridCol w:w="4831"/>
        <w:gridCol w:w="4831"/>
      </w:tblGrid>
      <w:tr>
        <w:trPr>
          <w:tblHeader w:val="true"/>
        </w:trPr>
        <w:tc>
          <w:tcPr>
            <w:tcW w:type="dxa" w:w="2520"/>
            <w:vAlign w:val="center"/>
            <w:shd w:fill="253A5B"/>
            <w:tcMar>
              <w:top w:w="90" w:type="dxa"/>
              <w:start w:w="105" w:type="dxa"/>
              <w:bottom w:w="90" w:type="dxa"/>
              <w:end w:w="105" w:type="dxa"/>
            </w:tcMar>
          </w:tcPr>
          <w:p>
            <w:pPr>
              <w:spacing w:after="0"/>
            </w:pPr>
            <w:r>
              <w:rPr>
                <w:rFonts w:ascii="Calibri" w:hAnsi="Calibri"/>
                <w:b/>
                <w:color w:val="FFFFFF"/>
                <w:sz w:val="18"/>
              </w:rPr>
              <w:t>Path class</w:t>
            </w:r>
          </w:p>
        </w:tc>
        <w:tc>
          <w:tcPr>
            <w:tcW w:type="dxa" w:w="7128"/>
            <w:vAlign w:val="center"/>
            <w:shd w:fill="253A5B"/>
            <w:tcMar>
              <w:top w:w="90" w:type="dxa"/>
              <w:start w:w="105" w:type="dxa"/>
              <w:bottom w:w="90" w:type="dxa"/>
              <w:end w:w="105" w:type="dxa"/>
            </w:tcMar>
          </w:tcPr>
          <w:p>
            <w:pPr>
              <w:spacing w:after="0"/>
            </w:pPr>
            <w:r>
              <w:rPr>
                <w:rFonts w:ascii="Calibri" w:hAnsi="Calibri"/>
                <w:b/>
                <w:color w:val="FFFFFF"/>
                <w:sz w:val="18"/>
              </w:rPr>
              <w:t>Required route behavior</w:t>
            </w:r>
          </w:p>
        </w:tc>
      </w:tr>
      <w:tr>
        <w:trPr>
          <w:cantSplit/>
        </w:trPr>
        <w:tc>
          <w:tcPr>
            <w:tcW w:type="dxa" w:w="2520"/>
            <w:vAlign w:val="center"/>
            <w:tcMar>
              <w:top w:w="90" w:type="dxa"/>
              <w:start w:w="105" w:type="dxa"/>
              <w:bottom w:w="90" w:type="dxa"/>
              <w:end w:w="105" w:type="dxa"/>
            </w:tcMar>
          </w:tcPr>
          <w:p>
            <w:pPr>
              <w:spacing w:after="0" w:line="252" w:lineRule="auto"/>
            </w:pPr>
            <w:r>
              <w:rPr>
                <w:rFonts w:ascii="Calibri" w:hAnsi="Calibri"/>
                <w:color w:val="222222"/>
                <w:sz w:val="18"/>
              </w:rPr>
              <w:t>/api/**</w:t>
            </w:r>
          </w:p>
        </w:tc>
        <w:tc>
          <w:tcPr>
            <w:tcW w:type="dxa" w:w="7128"/>
            <w:vAlign w:val="center"/>
            <w:tcMar>
              <w:top w:w="90" w:type="dxa"/>
              <w:start w:w="105" w:type="dxa"/>
              <w:bottom w:w="90" w:type="dxa"/>
              <w:end w:w="105" w:type="dxa"/>
            </w:tcMar>
          </w:tcPr>
          <w:p>
            <w:pPr>
              <w:spacing w:after="0" w:line="252" w:lineRule="auto"/>
            </w:pPr>
            <w:r>
              <w:rPr>
                <w:rFonts w:ascii="Calibri" w:hAnsi="Calibri"/>
                <w:color w:val="222222"/>
                <w:sz w:val="18"/>
              </w:rPr>
              <w:t>Route to the FastAPI application. Keep every API path out of the SPA fallback; unknown API routes return an API 404/405, never index.html.</w:t>
            </w:r>
          </w:p>
        </w:tc>
      </w:tr>
      <w:tr>
        <w:trPr>
          <w:cantSplit/>
        </w:trPr>
        <w:tc>
          <w:tcPr>
            <w:tcW w:type="dxa" w:w="2520"/>
            <w:vAlign w:val="center"/>
            <w:tcMar>
              <w:top w:w="90" w:type="dxa"/>
              <w:start w:w="105" w:type="dxa"/>
              <w:bottom w:w="90" w:type="dxa"/>
              <w:end w:w="105" w:type="dxa"/>
            </w:tcMar>
            <w:shd w:fill="F3F6F9"/>
          </w:tcPr>
          <w:p>
            <w:pPr>
              <w:spacing w:after="0" w:line="252" w:lineRule="auto"/>
            </w:pPr>
            <w:r>
              <w:rPr>
                <w:rFonts w:ascii="Calibri" w:hAnsi="Calibri"/>
                <w:color w:val="222222"/>
                <w:sz w:val="18"/>
              </w:rPr>
              <w:t>/data/**</w:t>
            </w:r>
          </w:p>
        </w:tc>
        <w:tc>
          <w:tcPr>
            <w:tcW w:type="dxa" w:w="7128"/>
            <w:vAlign w:val="center"/>
            <w:tcMar>
              <w:top w:w="90" w:type="dxa"/>
              <w:start w:w="105" w:type="dxa"/>
              <w:bottom w:w="90" w:type="dxa"/>
              <w:end w:w="105" w:type="dxa"/>
            </w:tcMar>
            <w:shd w:fill="F3F6F9"/>
          </w:tcPr>
          <w:p>
            <w:pPr>
              <w:spacing w:after="0" w:line="252" w:lineRule="auto"/>
            </w:pPr>
            <w:r>
              <w:rPr>
                <w:rFonts w:ascii="Calibri" w:hAnsi="Calibri"/>
                <w:color w:val="222222"/>
                <w:sz w:val="18"/>
              </w:rPr>
              <w:t>Resolve only to the intended static JSON content, with the Routing Middleware matcher covering every file before CDN lookup. Unknown data paths return 404, never index.html.</w:t>
            </w:r>
          </w:p>
        </w:tc>
      </w:tr>
      <w:tr>
        <w:trPr>
          <w:cantSplit/>
        </w:trPr>
        <w:tc>
          <w:tcPr>
            <w:tcW w:type="dxa" w:w="2520"/>
            <w:vAlign w:val="center"/>
            <w:tcMar>
              <w:top w:w="90" w:type="dxa"/>
              <w:start w:w="105" w:type="dxa"/>
              <w:bottom w:w="90" w:type="dxa"/>
              <w:end w:w="105" w:type="dxa"/>
            </w:tcMar>
          </w:tcPr>
          <w:p>
            <w:pPr>
              <w:spacing w:after="0" w:line="252" w:lineRule="auto"/>
            </w:pPr>
            <w:r>
              <w:rPr>
                <w:rFonts w:ascii="Calibri" w:hAnsi="Calibri"/>
                <w:color w:val="222222"/>
                <w:sz w:val="18"/>
              </w:rPr>
              <w:t>/assets/** and fixed public files</w:t>
            </w:r>
          </w:p>
        </w:tc>
        <w:tc>
          <w:tcPr>
            <w:tcW w:type="dxa" w:w="7128"/>
            <w:vAlign w:val="center"/>
            <w:tcMar>
              <w:top w:w="90" w:type="dxa"/>
              <w:start w:w="105" w:type="dxa"/>
              <w:bottom w:w="90" w:type="dxa"/>
              <w:end w:w="105" w:type="dxa"/>
            </w:tcMar>
          </w:tcPr>
          <w:p>
            <w:pPr>
              <w:spacing w:after="0" w:line="252" w:lineRule="auto"/>
            </w:pPr>
            <w:r>
              <w:rPr>
                <w:rFonts w:ascii="Calibri" w:hAnsi="Calibri"/>
                <w:color w:val="222222"/>
                <w:sz w:val="18"/>
              </w:rPr>
              <w:t>Serve Vite-built assets and public icons/manifest directly as static files; these contain no private note data or secrets.</w:t>
            </w:r>
          </w:p>
        </w:tc>
      </w:tr>
      <w:tr>
        <w:trPr>
          <w:cantSplit/>
        </w:trPr>
        <w:tc>
          <w:tcPr>
            <w:tcW w:type="dxa" w:w="2520"/>
            <w:vAlign w:val="center"/>
            <w:tcMar>
              <w:top w:w="90" w:type="dxa"/>
              <w:start w:w="105" w:type="dxa"/>
              <w:bottom w:w="90" w:type="dxa"/>
              <w:end w:w="105" w:type="dxa"/>
            </w:tcMar>
            <w:shd w:fill="F3F6F9"/>
          </w:tcPr>
          <w:p>
            <w:pPr>
              <w:spacing w:after="0" w:line="252" w:lineRule="auto"/>
            </w:pPr>
            <w:r>
              <w:rPr>
                <w:rFonts w:ascii="Calibri" w:hAnsi="Calibri"/>
                <w:color w:val="222222"/>
                <w:sz w:val="18"/>
              </w:rPr>
              <w:t>Client-side page routes</w:t>
            </w:r>
          </w:p>
        </w:tc>
        <w:tc>
          <w:tcPr>
            <w:tcW w:type="dxa" w:w="7128"/>
            <w:vAlign w:val="center"/>
            <w:tcMar>
              <w:top w:w="90" w:type="dxa"/>
              <w:start w:w="105" w:type="dxa"/>
              <w:bottom w:w="90" w:type="dxa"/>
              <w:end w:w="105" w:type="dxa"/>
            </w:tcMar>
            <w:shd w:fill="F3F6F9"/>
          </w:tcPr>
          <w:p>
            <w:pPr>
              <w:spacing w:after="0" w:line="252" w:lineRule="auto"/>
            </w:pPr>
            <w:r>
              <w:rPr>
                <w:rFonts w:ascii="Calibri" w:hAnsi="Calibri"/>
                <w:color w:val="222222"/>
                <w:sz w:val="18"/>
              </w:rPr>
              <w:t>Rewrite application navigation routes to index.html only after API, note-data, and real static-file routing is resolved. Limit fallback to browser document navigation where supported.</w:t>
            </w:r>
          </w:p>
        </w:tc>
      </w:tr>
    </w:tbl>
    <w:p/>
    <w:p>
      <w:pPr>
        <w:pStyle w:val="ListBullet"/>
      </w:pPr>
      <w:r>
        <w:t>Put the SPA fallback last. /api/** and /data/** must never fall through to HTML, including for unknown IDs or methods.</w:t>
      </w:r>
    </w:p>
    <w:p>
      <w:pPr>
        <w:pStyle w:val="ListBullet"/>
      </w:pPr>
      <w:r>
        <w:t>The preview gate must verify the built deployment's actual route table and response content types. A response to a note URL that returns index.html is a failed deployment, even if the client happens to render it without an obvious error.</w:t>
      </w:r>
    </w:p>
    <w:p>
      <w:pPr>
        <w:pStyle w:val="Heading2"/>
        <w:keepNext/>
      </w:pPr>
      <w:r>
        <w:t>Free Tier Limits</w:t>
      </w:r>
    </w:p>
    <w:p>
      <w:r>
        <w:t>Zero cost is a target, not a service guarantee. Current vendor documentation lists Vercel Hobby Fast Data Transfer and separate Function and Middleware usage allowances. MongoDB Atlas Free clusters have hard resource limits, including 512 MB storage, a 500-connection cap, and 100 read/write operations per second. Upstash's current Free Redis tier lists 256 MB and 500,000 commands per month. These limits can change; the owner must check live account usage, Marketplace pricing, and plan terms before launch. Monthly active users do not predict peak concurrency.</w:t>
      </w:r>
    </w:p>
    <w:p>
      <w:r>
        <w:t>Use one reusable MongoDB client per warm function instance, set a small connection pool, and monitor connection counts. Keep static note reads out of MongoDB. Export user data before major schema changes and keep a recovery procedure for the free-tier environment.</w:t>
      </w:r>
    </w:p>
    <w:p>
      <w:pPr>
        <w:pStyle w:val="Heading2"/>
        <w:keepNext/>
      </w:pPr>
      <w:r>
        <w:t>Environment Variables</w:t>
      </w:r>
    </w:p>
    <w:tbl>
      <w:tblPr>
        <w:tblW w:type="auto" w:w="0"/>
        <w:jc w:val="center"/>
        <w:tblLayout w:type="fixed"/>
        <w:tblLook w:firstColumn="1" w:firstRow="1" w:lastColumn="0" w:lastRow="0" w:noHBand="0" w:noVBand="1" w:val="04A0"/>
        <w:tblBorders>
          <w:top w:val="single" w:sz="5" w:space="0" w:color="D9DDE3"/>
          <w:left w:val="single" w:sz="5" w:space="0" w:color="D9DDE3"/>
          <w:bottom w:val="single" w:sz="5" w:space="0" w:color="D9DDE3"/>
          <w:right w:val="single" w:sz="5" w:space="0" w:color="D9DDE3"/>
          <w:insideH w:val="single" w:sz="5" w:space="0" w:color="D9DDE3"/>
          <w:insideV w:val="single" w:sz="5" w:space="0" w:color="D9DDE3"/>
        </w:tblBorders>
      </w:tblPr>
      <w:tblGrid>
        <w:gridCol w:w="4831"/>
        <w:gridCol w:w="4831"/>
      </w:tblGrid>
      <w:tr>
        <w:trPr>
          <w:tblHeader w:val="true"/>
        </w:trPr>
        <w:tc>
          <w:tcPr>
            <w:tcW w:type="dxa" w:w="2880"/>
            <w:vAlign w:val="center"/>
            <w:shd w:fill="253A5B"/>
            <w:tcMar>
              <w:top w:w="90" w:type="dxa"/>
              <w:start w:w="105" w:type="dxa"/>
              <w:bottom w:w="90" w:type="dxa"/>
              <w:end w:w="105" w:type="dxa"/>
            </w:tcMar>
          </w:tcPr>
          <w:p>
            <w:pPr>
              <w:spacing w:after="0"/>
            </w:pPr>
            <w:r>
              <w:rPr>
                <w:rFonts w:ascii="Calibri" w:hAnsi="Calibri"/>
                <w:b/>
                <w:color w:val="FFFFFF"/>
                <w:sz w:val="18"/>
              </w:rPr>
              <w:t>Variable</w:t>
            </w:r>
          </w:p>
        </w:tc>
        <w:tc>
          <w:tcPr>
            <w:tcW w:type="dxa" w:w="6768"/>
            <w:vAlign w:val="center"/>
            <w:shd w:fill="253A5B"/>
            <w:tcMar>
              <w:top w:w="90" w:type="dxa"/>
              <w:start w:w="105" w:type="dxa"/>
              <w:bottom w:w="90" w:type="dxa"/>
              <w:end w:w="105" w:type="dxa"/>
            </w:tcMar>
          </w:tcPr>
          <w:p>
            <w:pPr>
              <w:spacing w:after="0"/>
            </w:pPr>
            <w:r>
              <w:rPr>
                <w:rFonts w:ascii="Calibri" w:hAnsi="Calibri"/>
                <w:b/>
                <w:color w:val="FFFFFF"/>
                <w:sz w:val="18"/>
              </w:rPr>
              <w:t>Where used</w:t>
            </w:r>
          </w:p>
        </w:tc>
      </w:tr>
      <w:tr>
        <w:trPr>
          <w:cantSplit/>
        </w:trPr>
        <w:tc>
          <w:tcPr>
            <w:tcW w:type="dxa" w:w="2880"/>
            <w:vAlign w:val="center"/>
            <w:tcMar>
              <w:top w:w="90" w:type="dxa"/>
              <w:start w:w="105" w:type="dxa"/>
              <w:bottom w:w="90" w:type="dxa"/>
              <w:end w:w="105" w:type="dxa"/>
            </w:tcMar>
          </w:tcPr>
          <w:p>
            <w:pPr>
              <w:spacing w:after="0" w:line="252" w:lineRule="auto"/>
            </w:pPr>
            <w:r>
              <w:rPr>
                <w:rFonts w:ascii="Calibri" w:hAnsi="Calibri"/>
                <w:color w:val="222222"/>
                <w:sz w:val="18"/>
              </w:rPr>
              <w:t>GOOGLE_CLIENT_ID</w:t>
            </w:r>
          </w:p>
        </w:tc>
        <w:tc>
          <w:tcPr>
            <w:tcW w:type="dxa" w:w="6768"/>
            <w:vAlign w:val="center"/>
            <w:tcMar>
              <w:top w:w="90" w:type="dxa"/>
              <w:start w:w="105" w:type="dxa"/>
              <w:bottom w:w="90" w:type="dxa"/>
              <w:end w:w="105" w:type="dxa"/>
            </w:tcMar>
          </w:tcPr>
          <w:p>
            <w:pPr>
              <w:spacing w:after="0" w:line="252" w:lineRule="auto"/>
            </w:pPr>
            <w:r>
              <w:rPr>
                <w:rFonts w:ascii="Calibri" w:hAnsi="Calibri"/>
                <w:color w:val="222222"/>
                <w:sz w:val="18"/>
              </w:rPr>
              <w:t>FastAPI token audience verification; same value as the public client ID.</w:t>
            </w:r>
          </w:p>
        </w:tc>
      </w:tr>
      <w:tr>
        <w:trPr>
          <w:cantSplit/>
        </w:trPr>
        <w:tc>
          <w:tcPr>
            <w:tcW w:type="dxa" w:w="2880"/>
            <w:vAlign w:val="center"/>
            <w:tcMar>
              <w:top w:w="90" w:type="dxa"/>
              <w:start w:w="105" w:type="dxa"/>
              <w:bottom w:w="90" w:type="dxa"/>
              <w:end w:w="105" w:type="dxa"/>
            </w:tcMar>
            <w:shd w:fill="F3F6F9"/>
          </w:tcPr>
          <w:p>
            <w:pPr>
              <w:spacing w:after="0" w:line="252" w:lineRule="auto"/>
            </w:pPr>
            <w:r>
              <w:rPr>
                <w:rFonts w:ascii="Calibri" w:hAnsi="Calibri"/>
                <w:color w:val="222222"/>
                <w:sz w:val="18"/>
              </w:rPr>
              <w:t>GOOGLE_ALLOWED_HD</w:t>
            </w:r>
          </w:p>
        </w:tc>
        <w:tc>
          <w:tcPr>
            <w:tcW w:type="dxa" w:w="6768"/>
            <w:vAlign w:val="center"/>
            <w:tcMar>
              <w:top w:w="90" w:type="dxa"/>
              <w:start w:w="105" w:type="dxa"/>
              <w:bottom w:w="90" w:type="dxa"/>
              <w:end w:w="105" w:type="dxa"/>
            </w:tcMar>
            <w:shd w:fill="F3F6F9"/>
          </w:tcPr>
          <w:p>
            <w:pPr>
              <w:spacing w:after="0" w:line="252" w:lineRule="auto"/>
            </w:pPr>
            <w:r>
              <w:rPr>
                <w:rFonts w:ascii="Calibri" w:hAnsi="Calibri"/>
                <w:color w:val="222222"/>
                <w:sz w:val="18"/>
              </w:rPr>
              <w:t>Owner-confirmed Google hosted-domain claim value or values.</w:t>
            </w:r>
          </w:p>
        </w:tc>
      </w:tr>
      <w:tr>
        <w:trPr>
          <w:cantSplit/>
        </w:trPr>
        <w:tc>
          <w:tcPr>
            <w:tcW w:type="dxa" w:w="2880"/>
            <w:vAlign w:val="center"/>
            <w:tcMar>
              <w:top w:w="90" w:type="dxa"/>
              <w:start w:w="105" w:type="dxa"/>
              <w:bottom w:w="90" w:type="dxa"/>
              <w:end w:w="105" w:type="dxa"/>
            </w:tcMar>
          </w:tcPr>
          <w:p>
            <w:pPr>
              <w:spacing w:after="0" w:line="252" w:lineRule="auto"/>
            </w:pPr>
            <w:r>
              <w:rPr>
                <w:rFonts w:ascii="Calibri" w:hAnsi="Calibri"/>
                <w:color w:val="222222"/>
                <w:sz w:val="18"/>
              </w:rPr>
              <w:t>JWT_PRIVATE_KEY_B64</w:t>
            </w:r>
          </w:p>
        </w:tc>
        <w:tc>
          <w:tcPr>
            <w:tcW w:type="dxa" w:w="6768"/>
            <w:vAlign w:val="center"/>
            <w:tcMar>
              <w:top w:w="90" w:type="dxa"/>
              <w:start w:w="105" w:type="dxa"/>
              <w:bottom w:w="90" w:type="dxa"/>
              <w:end w:w="105" w:type="dxa"/>
            </w:tcMar>
          </w:tcPr>
          <w:p>
            <w:pPr>
              <w:spacing w:after="0" w:line="252" w:lineRule="auto"/>
            </w:pPr>
            <w:r>
              <w:rPr>
                <w:rFonts w:ascii="Calibri" w:hAnsi="Calibri"/>
                <w:color w:val="222222"/>
                <w:sz w:val="18"/>
              </w:rPr>
              <w:t>FastAPI only; signs access JWTs.</w:t>
            </w:r>
          </w:p>
        </w:tc>
      </w:tr>
      <w:tr>
        <w:trPr>
          <w:cantSplit/>
        </w:trPr>
        <w:tc>
          <w:tcPr>
            <w:tcW w:type="dxa" w:w="2880"/>
            <w:vAlign w:val="center"/>
            <w:tcMar>
              <w:top w:w="90" w:type="dxa"/>
              <w:start w:w="105" w:type="dxa"/>
              <w:bottom w:w="90" w:type="dxa"/>
              <w:end w:w="105" w:type="dxa"/>
            </w:tcMar>
            <w:shd w:fill="F3F6F9"/>
          </w:tcPr>
          <w:p>
            <w:pPr>
              <w:spacing w:after="0" w:line="252" w:lineRule="auto"/>
            </w:pPr>
            <w:r>
              <w:rPr>
                <w:rFonts w:ascii="Calibri" w:hAnsi="Calibri"/>
                <w:color w:val="222222"/>
                <w:sz w:val="18"/>
              </w:rPr>
              <w:t>JWT_PUBLIC_KEY_B64</w:t>
            </w:r>
          </w:p>
        </w:tc>
        <w:tc>
          <w:tcPr>
            <w:tcW w:type="dxa" w:w="6768"/>
            <w:vAlign w:val="center"/>
            <w:tcMar>
              <w:top w:w="90" w:type="dxa"/>
              <w:start w:w="105" w:type="dxa"/>
              <w:bottom w:w="90" w:type="dxa"/>
              <w:end w:w="105" w:type="dxa"/>
            </w:tcMar>
            <w:shd w:fill="F3F6F9"/>
          </w:tcPr>
          <w:p>
            <w:pPr>
              <w:spacing w:after="0" w:line="252" w:lineRule="auto"/>
            </w:pPr>
            <w:r>
              <w:rPr>
                <w:rFonts w:ascii="Calibri" w:hAnsi="Calibri"/>
                <w:color w:val="222222"/>
                <w:sz w:val="18"/>
              </w:rPr>
              <w:t>Vercel Routing Middleware; verifies access JWTs.</w:t>
            </w:r>
          </w:p>
        </w:tc>
      </w:tr>
      <w:tr>
        <w:trPr>
          <w:cantSplit/>
        </w:trPr>
        <w:tc>
          <w:tcPr>
            <w:tcW w:type="dxa" w:w="2880"/>
            <w:vAlign w:val="center"/>
            <w:tcMar>
              <w:top w:w="90" w:type="dxa"/>
              <w:start w:w="105" w:type="dxa"/>
              <w:bottom w:w="90" w:type="dxa"/>
              <w:end w:w="105" w:type="dxa"/>
            </w:tcMar>
          </w:tcPr>
          <w:p>
            <w:pPr>
              <w:spacing w:after="0" w:line="252" w:lineRule="auto"/>
            </w:pPr>
            <w:r>
              <w:rPr>
                <w:rFonts w:ascii="Calibri" w:hAnsi="Calibri"/>
                <w:color w:val="222222"/>
                <w:sz w:val="18"/>
              </w:rPr>
              <w:t>MONGODB_URI</w:t>
            </w:r>
          </w:p>
        </w:tc>
        <w:tc>
          <w:tcPr>
            <w:tcW w:type="dxa" w:w="6768"/>
            <w:vAlign w:val="center"/>
            <w:tcMar>
              <w:top w:w="90" w:type="dxa"/>
              <w:start w:w="105" w:type="dxa"/>
              <w:bottom w:w="90" w:type="dxa"/>
              <w:end w:w="105" w:type="dxa"/>
            </w:tcMar>
          </w:tcPr>
          <w:p>
            <w:pPr>
              <w:spacing w:after="0" w:line="252" w:lineRule="auto"/>
            </w:pPr>
            <w:r>
              <w:rPr>
                <w:rFonts w:ascii="Calibri" w:hAnsi="Calibri"/>
                <w:color w:val="222222"/>
                <w:sz w:val="18"/>
              </w:rPr>
              <w:t>FastAPI only; never shipped to the browser.</w:t>
            </w:r>
          </w:p>
        </w:tc>
      </w:tr>
      <w:tr>
        <w:trPr>
          <w:cantSplit/>
        </w:trPr>
        <w:tc>
          <w:tcPr>
            <w:tcW w:type="dxa" w:w="2880"/>
            <w:vAlign w:val="center"/>
            <w:tcMar>
              <w:top w:w="90" w:type="dxa"/>
              <w:start w:w="105" w:type="dxa"/>
              <w:bottom w:w="90" w:type="dxa"/>
              <w:end w:w="105" w:type="dxa"/>
            </w:tcMar>
            <w:shd w:fill="F3F6F9"/>
          </w:tcPr>
          <w:p>
            <w:pPr>
              <w:spacing w:after="0" w:line="252" w:lineRule="auto"/>
            </w:pPr>
            <w:r>
              <w:rPr>
                <w:rFonts w:ascii="Calibri" w:hAnsi="Calibri"/>
                <w:color w:val="222222"/>
                <w:sz w:val="18"/>
              </w:rPr>
              <w:t>UPSTASH_REDIS_REST_URL</w:t>
            </w:r>
          </w:p>
        </w:tc>
        <w:tc>
          <w:tcPr>
            <w:tcW w:type="dxa" w:w="6768"/>
            <w:vAlign w:val="center"/>
            <w:tcMar>
              <w:top w:w="90" w:type="dxa"/>
              <w:start w:w="105" w:type="dxa"/>
              <w:bottom w:w="90" w:type="dxa"/>
              <w:end w:w="105" w:type="dxa"/>
            </w:tcMar>
            <w:shd w:fill="F3F6F9"/>
          </w:tcPr>
          <w:p>
            <w:pPr>
              <w:spacing w:after="0" w:line="252" w:lineRule="auto"/>
            </w:pPr>
            <w:r>
              <w:rPr>
                <w:rFonts w:ascii="Calibri" w:hAnsi="Calibri"/>
                <w:color w:val="222222"/>
                <w:sz w:val="18"/>
              </w:rPr>
              <w:t>FastAPI only; shared rate-limiter endpoint.</w:t>
            </w:r>
          </w:p>
        </w:tc>
      </w:tr>
      <w:tr>
        <w:trPr>
          <w:cantSplit/>
        </w:trPr>
        <w:tc>
          <w:tcPr>
            <w:tcW w:type="dxa" w:w="2880"/>
            <w:vAlign w:val="center"/>
            <w:tcMar>
              <w:top w:w="90" w:type="dxa"/>
              <w:start w:w="105" w:type="dxa"/>
              <w:bottom w:w="90" w:type="dxa"/>
              <w:end w:w="105" w:type="dxa"/>
            </w:tcMar>
          </w:tcPr>
          <w:p>
            <w:pPr>
              <w:spacing w:after="0" w:line="252" w:lineRule="auto"/>
            </w:pPr>
            <w:r>
              <w:rPr>
                <w:rFonts w:ascii="Calibri" w:hAnsi="Calibri"/>
                <w:color w:val="222222"/>
                <w:sz w:val="18"/>
              </w:rPr>
              <w:t>UPSTASH_REDIS_REST_TOKEN</w:t>
            </w:r>
          </w:p>
        </w:tc>
        <w:tc>
          <w:tcPr>
            <w:tcW w:type="dxa" w:w="6768"/>
            <w:vAlign w:val="center"/>
            <w:tcMar>
              <w:top w:w="90" w:type="dxa"/>
              <w:start w:w="105" w:type="dxa"/>
              <w:bottom w:w="90" w:type="dxa"/>
              <w:end w:w="105" w:type="dxa"/>
            </w:tcMar>
          </w:tcPr>
          <w:p>
            <w:pPr>
              <w:spacing w:after="0" w:line="252" w:lineRule="auto"/>
            </w:pPr>
            <w:r>
              <w:rPr>
                <w:rFonts w:ascii="Calibri" w:hAnsi="Calibri"/>
                <w:color w:val="222222"/>
                <w:sz w:val="18"/>
              </w:rPr>
              <w:t>FastAPI only; secret for the Upstash Redis integration.</w:t>
            </w:r>
          </w:p>
        </w:tc>
      </w:tr>
      <w:tr>
        <w:trPr>
          <w:cantSplit/>
        </w:trPr>
        <w:tc>
          <w:tcPr>
            <w:tcW w:type="dxa" w:w="2880"/>
            <w:vAlign w:val="center"/>
            <w:tcMar>
              <w:top w:w="90" w:type="dxa"/>
              <w:start w:w="105" w:type="dxa"/>
              <w:bottom w:w="90" w:type="dxa"/>
              <w:end w:w="105" w:type="dxa"/>
            </w:tcMar>
            <w:shd w:fill="F3F6F9"/>
          </w:tcPr>
          <w:p>
            <w:pPr>
              <w:spacing w:after="0" w:line="252" w:lineRule="auto"/>
            </w:pPr>
            <w:r>
              <w:rPr>
                <w:rFonts w:ascii="Calibri" w:hAnsi="Calibri"/>
                <w:color w:val="222222"/>
                <w:sz w:val="18"/>
              </w:rPr>
              <w:t>APP_ORIGIN</w:t>
            </w:r>
          </w:p>
        </w:tc>
        <w:tc>
          <w:tcPr>
            <w:tcW w:type="dxa" w:w="6768"/>
            <w:vAlign w:val="center"/>
            <w:tcMar>
              <w:top w:w="90" w:type="dxa"/>
              <w:start w:w="105" w:type="dxa"/>
              <w:bottom w:w="90" w:type="dxa"/>
              <w:end w:w="105" w:type="dxa"/>
            </w:tcMar>
            <w:shd w:fill="F3F6F9"/>
          </w:tcPr>
          <w:p>
            <w:pPr>
              <w:spacing w:after="0" w:line="252" w:lineRule="auto"/>
            </w:pPr>
            <w:r>
              <w:rPr>
                <w:rFonts w:ascii="Calibri" w:hAnsi="Calibri"/>
                <w:color w:val="222222"/>
                <w:sz w:val="18"/>
              </w:rPr>
              <w:t>Exact production origin used for Origin checks.</w:t>
            </w:r>
          </w:p>
        </w:tc>
      </w:tr>
      <w:tr>
        <w:trPr>
          <w:cantSplit/>
        </w:trPr>
        <w:tc>
          <w:tcPr>
            <w:tcW w:type="dxa" w:w="2880"/>
            <w:vAlign w:val="center"/>
            <w:tcMar>
              <w:top w:w="90" w:type="dxa"/>
              <w:start w:w="105" w:type="dxa"/>
              <w:bottom w:w="90" w:type="dxa"/>
              <w:end w:w="105" w:type="dxa"/>
            </w:tcMar>
          </w:tcPr>
          <w:p>
            <w:pPr>
              <w:spacing w:after="0" w:line="252" w:lineRule="auto"/>
            </w:pPr>
            <w:r>
              <w:rPr>
                <w:rFonts w:ascii="Calibri" w:hAnsi="Calibri"/>
                <w:color w:val="222222"/>
                <w:sz w:val="18"/>
              </w:rPr>
              <w:t>VITE_GOOGLE_CLIENT_ID</w:t>
            </w:r>
          </w:p>
        </w:tc>
        <w:tc>
          <w:tcPr>
            <w:tcW w:type="dxa" w:w="6768"/>
            <w:vAlign w:val="center"/>
            <w:tcMar>
              <w:top w:w="90" w:type="dxa"/>
              <w:start w:w="105" w:type="dxa"/>
              <w:bottom w:w="90" w:type="dxa"/>
              <w:end w:w="105" w:type="dxa"/>
            </w:tcMar>
          </w:tcPr>
          <w:p>
            <w:pPr>
              <w:spacing w:after="0" w:line="252" w:lineRule="auto"/>
            </w:pPr>
            <w:r>
              <w:rPr>
                <w:rFonts w:ascii="Calibri" w:hAnsi="Calibri"/>
                <w:color w:val="222222"/>
                <w:sz w:val="18"/>
              </w:rPr>
              <w:t>Frontend Google Sign-In client ID; public by design.</w:t>
            </w:r>
          </w:p>
        </w:tc>
      </w:tr>
      <w:tr>
        <w:trPr>
          <w:cantSplit/>
        </w:trPr>
        <w:tc>
          <w:tcPr>
            <w:tcW w:type="dxa" w:w="2880"/>
            <w:vAlign w:val="center"/>
            <w:tcMar>
              <w:top w:w="90" w:type="dxa"/>
              <w:start w:w="105" w:type="dxa"/>
              <w:bottom w:w="90" w:type="dxa"/>
              <w:end w:w="105" w:type="dxa"/>
            </w:tcMar>
            <w:shd w:fill="F3F6F9"/>
          </w:tcPr>
          <w:p>
            <w:pPr>
              <w:spacing w:after="0" w:line="252" w:lineRule="auto"/>
            </w:pPr>
            <w:r>
              <w:rPr>
                <w:rFonts w:ascii="Calibri" w:hAnsi="Calibri"/>
                <w:color w:val="222222"/>
                <w:sz w:val="18"/>
              </w:rPr>
              <w:t>VITE_API_BASE_URL</w:t>
            </w:r>
          </w:p>
        </w:tc>
        <w:tc>
          <w:tcPr>
            <w:tcW w:type="dxa" w:w="6768"/>
            <w:vAlign w:val="center"/>
            <w:tcMar>
              <w:top w:w="90" w:type="dxa"/>
              <w:start w:w="105" w:type="dxa"/>
              <w:bottom w:w="90" w:type="dxa"/>
              <w:end w:w="105" w:type="dxa"/>
            </w:tcMar>
            <w:shd w:fill="F3F6F9"/>
          </w:tcPr>
          <w:p>
            <w:pPr>
              <w:spacing w:after="0" w:line="252" w:lineRule="auto"/>
            </w:pPr>
            <w:r>
              <w:rPr>
                <w:rFonts w:ascii="Calibri" w:hAnsi="Calibri"/>
                <w:color w:val="222222"/>
                <w:sz w:val="18"/>
              </w:rPr>
              <w:t>Empty for same-origin production; local proxy configuration for development.</w:t>
            </w:r>
          </w:p>
        </w:tc>
      </w:tr>
    </w:tbl>
    <w:p/>
    <w:p>
      <w:r>
        <w:t>Commit an .env.example containing placeholders only. Ignore actual environment files. Never log ID tokens, refresh tokens, access cookies, signing keys, or complete authentication headers.</w:t>
      </w:r>
    </w:p>
    <w:p>
      <w:pPr>
        <w:pStyle w:val="Heading2"/>
        <w:keepNext/>
      </w:pPr>
      <w:r>
        <w:t>Monitoring</w:t>
      </w:r>
    </w:p>
    <w:p>
      <w:pPr>
        <w:pStyle w:val="ListBullet"/>
      </w:pPr>
      <w:r>
        <w:t>Track note request latency, API p50 and p95 latency, 401 and 403 rates, 5xx responses, function invocations, Fast Data Transfer, MongoDB storage, operations per second, and connection count.</w:t>
      </w:r>
    </w:p>
    <w:p>
      <w:pPr>
        <w:pStyle w:val="ListBullet"/>
      </w:pPr>
      <w:r>
        <w:t>Track Upstash Redis commands, latency, quota, failures, and rate-limit rejections. Alert before the free quota or any paid budget is exhausted.</w:t>
      </w:r>
    </w:p>
    <w:p>
      <w:pPr>
        <w:pStyle w:val="ListBullet"/>
      </w:pPr>
      <w:r>
        <w:t>Alert before any free-tier cap is reached. Keep logs free of raw auth tokens and note content.</w:t>
      </w:r>
    </w:p>
    <w:p>
      <w:pPr>
        <w:pStyle w:val="ListBullet"/>
      </w:pPr>
      <w:r>
        <w:t>Document who can publish notes, how a bad note is removed, and how to roll back a deployment.</w:t>
      </w:r>
    </w:p>
    <w:p>
      <w:pPr>
        <w:pStyle w:val="Heading1"/>
        <w:keepNext/>
      </w:pPr>
      <w:r>
        <w:t>10 Performance and Reliability Targets</w:t>
      </w:r>
    </w:p>
    <w:tbl>
      <w:tblPr>
        <w:tblW w:type="auto" w:w="0"/>
        <w:jc w:val="center"/>
        <w:tblLayout w:type="fixed"/>
        <w:tblLook w:firstColumn="1" w:firstRow="1" w:lastColumn="0" w:lastRow="0" w:noHBand="0" w:noVBand="1" w:val="04A0"/>
        <w:tblBorders>
          <w:top w:val="single" w:sz="5" w:space="0" w:color="D9DDE3"/>
          <w:left w:val="single" w:sz="5" w:space="0" w:color="D9DDE3"/>
          <w:bottom w:val="single" w:sz="5" w:space="0" w:color="D9DDE3"/>
          <w:right w:val="single" w:sz="5" w:space="0" w:color="D9DDE3"/>
          <w:insideH w:val="single" w:sz="5" w:space="0" w:color="D9DDE3"/>
          <w:insideV w:val="single" w:sz="5" w:space="0" w:color="D9DDE3"/>
        </w:tblBorders>
      </w:tblPr>
      <w:tblGrid>
        <w:gridCol w:w="4831"/>
        <w:gridCol w:w="4831"/>
      </w:tblGrid>
      <w:tr>
        <w:trPr>
          <w:tblHeader w:val="true"/>
        </w:trPr>
        <w:tc>
          <w:tcPr>
            <w:tcW w:type="dxa" w:w="2376"/>
            <w:vAlign w:val="center"/>
            <w:shd w:fill="253A5B"/>
            <w:tcMar>
              <w:top w:w="90" w:type="dxa"/>
              <w:start w:w="105" w:type="dxa"/>
              <w:bottom w:w="90" w:type="dxa"/>
              <w:end w:w="105" w:type="dxa"/>
            </w:tcMar>
          </w:tcPr>
          <w:p>
            <w:pPr>
              <w:spacing w:after="0"/>
            </w:pPr>
            <w:r>
              <w:rPr>
                <w:rFonts w:ascii="Calibri" w:hAnsi="Calibri"/>
                <w:b/>
                <w:color w:val="FFFFFF"/>
                <w:sz w:val="18"/>
              </w:rPr>
              <w:t>Measure</w:t>
            </w:r>
          </w:p>
        </w:tc>
        <w:tc>
          <w:tcPr>
            <w:tcW w:type="dxa" w:w="7272"/>
            <w:vAlign w:val="center"/>
            <w:shd w:fill="253A5B"/>
            <w:tcMar>
              <w:top w:w="90" w:type="dxa"/>
              <w:start w:w="105" w:type="dxa"/>
              <w:bottom w:w="90" w:type="dxa"/>
              <w:end w:w="105" w:type="dxa"/>
            </w:tcMar>
          </w:tcPr>
          <w:p>
            <w:pPr>
              <w:spacing w:after="0"/>
            </w:pPr>
            <w:r>
              <w:rPr>
                <w:rFonts w:ascii="Calibri" w:hAnsi="Calibri"/>
                <w:b/>
                <w:color w:val="FFFFFF"/>
                <w:sz w:val="18"/>
              </w:rPr>
              <w:t>MVP target</w:t>
            </w:r>
          </w:p>
        </w:tc>
      </w:tr>
      <w:tr>
        <w:trPr>
          <w:cantSplit/>
        </w:trPr>
        <w:tc>
          <w:tcPr>
            <w:tcW w:type="dxa" w:w="2376"/>
            <w:vAlign w:val="center"/>
            <w:tcMar>
              <w:top w:w="90" w:type="dxa"/>
              <w:start w:w="105" w:type="dxa"/>
              <w:bottom w:w="90" w:type="dxa"/>
              <w:end w:w="105" w:type="dxa"/>
            </w:tcMar>
          </w:tcPr>
          <w:p>
            <w:pPr>
              <w:spacing w:after="0" w:line="252" w:lineRule="auto"/>
            </w:pPr>
            <w:r>
              <w:rPr>
                <w:rFonts w:ascii="Calibri" w:hAnsi="Calibri"/>
                <w:color w:val="222222"/>
                <w:sz w:val="18"/>
              </w:rPr>
              <w:t>Note delivery</w:t>
            </w:r>
          </w:p>
        </w:tc>
        <w:tc>
          <w:tcPr>
            <w:tcW w:type="dxa" w:w="7272"/>
            <w:vAlign w:val="center"/>
            <w:tcMar>
              <w:top w:w="90" w:type="dxa"/>
              <w:start w:w="105" w:type="dxa"/>
              <w:bottom w:w="90" w:type="dxa"/>
              <w:end w:w="105" w:type="dxa"/>
            </w:tcMar>
          </w:tcPr>
          <w:p>
            <w:pPr>
              <w:spacing w:after="0" w:line="252" w:lineRule="auto"/>
            </w:pPr>
            <w:r>
              <w:rPr>
                <w:rFonts w:ascii="Calibri" w:hAnsi="Calibri"/>
                <w:color w:val="222222"/>
                <w:sz w:val="18"/>
              </w:rPr>
              <w:t>Warm, authorized static note requests should have p95 TTFB below 200 ms from an India test region.</w:t>
            </w:r>
          </w:p>
        </w:tc>
      </w:tr>
      <w:tr>
        <w:trPr>
          <w:cantSplit/>
        </w:trPr>
        <w:tc>
          <w:tcPr>
            <w:tcW w:type="dxa" w:w="2376"/>
            <w:vAlign w:val="center"/>
            <w:tcMar>
              <w:top w:w="90" w:type="dxa"/>
              <w:start w:w="105" w:type="dxa"/>
              <w:bottom w:w="90" w:type="dxa"/>
              <w:end w:w="105" w:type="dxa"/>
            </w:tcMar>
            <w:shd w:fill="F3F6F9"/>
          </w:tcPr>
          <w:p>
            <w:pPr>
              <w:spacing w:after="0" w:line="252" w:lineRule="auto"/>
            </w:pPr>
            <w:r>
              <w:rPr>
                <w:rFonts w:ascii="Calibri" w:hAnsi="Calibri"/>
                <w:color w:val="222222"/>
                <w:sz w:val="18"/>
              </w:rPr>
              <w:t>Initial load profile</w:t>
            </w:r>
          </w:p>
        </w:tc>
        <w:tc>
          <w:tcPr>
            <w:tcW w:type="dxa" w:w="7272"/>
            <w:vAlign w:val="center"/>
            <w:tcMar>
              <w:top w:w="90" w:type="dxa"/>
              <w:start w:w="105" w:type="dxa"/>
              <w:bottom w:w="90" w:type="dxa"/>
              <w:end w:w="105" w:type="dxa"/>
            </w:tcMar>
            <w:shd w:fill="F3F6F9"/>
          </w:tcPr>
          <w:p>
            <w:pPr>
              <w:spacing w:after="0" w:line="252" w:lineRule="auto"/>
            </w:pPr>
            <w:r>
              <w:rPr>
                <w:rFonts w:ascii="Calibri" w:hAnsi="Calibri"/>
                <w:color w:val="222222"/>
                <w:sz w:val="18"/>
              </w:rPr>
              <w:t>Use 100 simultaneous authenticated note reads as a provisional load-test baseline. Replace it with a measured exam-week concurrency estimate before launch.</w:t>
            </w:r>
          </w:p>
        </w:tc>
      </w:tr>
      <w:tr>
        <w:trPr>
          <w:cantSplit/>
        </w:trPr>
        <w:tc>
          <w:tcPr>
            <w:tcW w:type="dxa" w:w="2376"/>
            <w:vAlign w:val="center"/>
            <w:tcMar>
              <w:top w:w="90" w:type="dxa"/>
              <w:start w:w="105" w:type="dxa"/>
              <w:bottom w:w="90" w:type="dxa"/>
              <w:end w:w="105" w:type="dxa"/>
            </w:tcMar>
          </w:tcPr>
          <w:p>
            <w:pPr>
              <w:spacing w:after="0" w:line="252" w:lineRule="auto"/>
            </w:pPr>
            <w:r>
              <w:rPr>
                <w:rFonts w:ascii="Calibri" w:hAnsi="Calibri"/>
                <w:color w:val="222222"/>
                <w:sz w:val="18"/>
              </w:rPr>
              <w:t>Database reads</w:t>
            </w:r>
          </w:p>
        </w:tc>
        <w:tc>
          <w:tcPr>
            <w:tcW w:type="dxa" w:w="7272"/>
            <w:vAlign w:val="center"/>
            <w:tcMar>
              <w:top w:w="90" w:type="dxa"/>
              <w:start w:w="105" w:type="dxa"/>
              <w:bottom w:w="90" w:type="dxa"/>
              <w:end w:w="105" w:type="dxa"/>
            </w:tcMar>
          </w:tcPr>
          <w:p>
            <w:pPr>
              <w:spacing w:after="0" w:line="252" w:lineRule="auto"/>
            </w:pPr>
            <w:r>
              <w:rPr>
                <w:rFonts w:ascii="Calibri" w:hAnsi="Calibri"/>
                <w:color w:val="222222"/>
                <w:sz w:val="18"/>
              </w:rPr>
              <w:t>A note read performs zero MongoDB operations. A bookmark list or write uses only the current user's records.</w:t>
            </w:r>
          </w:p>
        </w:tc>
      </w:tr>
      <w:tr>
        <w:trPr>
          <w:cantSplit/>
        </w:trPr>
        <w:tc>
          <w:tcPr>
            <w:tcW w:type="dxa" w:w="2376"/>
            <w:vAlign w:val="center"/>
            <w:tcMar>
              <w:top w:w="90" w:type="dxa"/>
              <w:start w:w="105" w:type="dxa"/>
              <w:bottom w:w="90" w:type="dxa"/>
              <w:end w:w="105" w:type="dxa"/>
            </w:tcMar>
            <w:shd w:fill="F3F6F9"/>
          </w:tcPr>
          <w:p>
            <w:pPr>
              <w:spacing w:after="0" w:line="252" w:lineRule="auto"/>
            </w:pPr>
            <w:r>
              <w:rPr>
                <w:rFonts w:ascii="Calibri" w:hAnsi="Calibri"/>
                <w:color w:val="222222"/>
                <w:sz w:val="18"/>
              </w:rPr>
              <w:t>Failure behavior</w:t>
            </w:r>
          </w:p>
        </w:tc>
        <w:tc>
          <w:tcPr>
            <w:tcW w:type="dxa" w:w="7272"/>
            <w:vAlign w:val="center"/>
            <w:tcMar>
              <w:top w:w="90" w:type="dxa"/>
              <w:start w:w="105" w:type="dxa"/>
              <w:bottom w:w="90" w:type="dxa"/>
              <w:end w:w="105" w:type="dxa"/>
            </w:tcMar>
            <w:shd w:fill="F3F6F9"/>
          </w:tcPr>
          <w:p>
            <w:pPr>
              <w:spacing w:after="0" w:line="252" w:lineRule="auto"/>
            </w:pPr>
            <w:r>
              <w:rPr>
                <w:rFonts w:ascii="Calibri" w:hAnsi="Calibri"/>
                <w:color w:val="222222"/>
                <w:sz w:val="18"/>
              </w:rPr>
              <w:t>Invalid auth fails closed. MongoDB failure blocks profile and bookmark operations but does not expose protected notes or affect already authorized static delivery until the access token expires.</w:t>
            </w:r>
          </w:p>
        </w:tc>
      </w:tr>
      <w:tr>
        <w:trPr>
          <w:cantSplit/>
        </w:trPr>
        <w:tc>
          <w:tcPr>
            <w:tcW w:type="dxa" w:w="2376"/>
            <w:vAlign w:val="center"/>
            <w:tcMar>
              <w:top w:w="90" w:type="dxa"/>
              <w:start w:w="105" w:type="dxa"/>
              <w:bottom w:w="90" w:type="dxa"/>
              <w:end w:w="105" w:type="dxa"/>
            </w:tcMar>
          </w:tcPr>
          <w:p>
            <w:pPr>
              <w:spacing w:after="0" w:line="252" w:lineRule="auto"/>
            </w:pPr>
            <w:r>
              <w:rPr>
                <w:rFonts w:ascii="Calibri" w:hAnsi="Calibri"/>
                <w:color w:val="222222"/>
                <w:sz w:val="18"/>
              </w:rPr>
              <w:t>Content consistency</w:t>
            </w:r>
          </w:p>
        </w:tc>
        <w:tc>
          <w:tcPr>
            <w:tcW w:type="dxa" w:w="7272"/>
            <w:vAlign w:val="center"/>
            <w:tcMar>
              <w:top w:w="90" w:type="dxa"/>
              <w:start w:w="105" w:type="dxa"/>
              <w:bottom w:w="90" w:type="dxa"/>
              <w:end w:w="105" w:type="dxa"/>
            </w:tcMar>
          </w:tcPr>
          <w:p>
            <w:pPr>
              <w:spacing w:after="0" w:line="252" w:lineRule="auto"/>
            </w:pPr>
            <w:r>
              <w:rPr>
                <w:rFonts w:ascii="Calibri" w:hAnsi="Calibri"/>
                <w:color w:val="222222"/>
                <w:sz w:val="18"/>
              </w:rPr>
              <w:t>A deployment publishes the note, manifest, and search index together. A rollback restores all three to the same prior version.</w:t>
            </w:r>
          </w:p>
        </w:tc>
      </w:tr>
    </w:tbl>
    <w:p/>
    <w:p>
      <w:pPr>
        <w:pStyle w:val="Heading1"/>
        <w:keepNext/>
      </w:pPr>
      <w:r>
        <w:t>11 Acceptance Criteria</w:t>
      </w:r>
    </w:p>
    <w:p>
      <w:pPr>
        <w:pStyle w:val="ListNumber"/>
      </w:pPr>
      <w:r>
        <w:t>An account with an email outside the exact @sst.scaler.com suffix cannot obtain a student session. The Google hosted-domain value is confirmed against a real test account before production.</w:t>
      </w:r>
    </w:p>
    <w:p>
      <w:pPr>
        <w:pStyle w:val="ListNumber"/>
      </w:pPr>
      <w:r>
        <w:t>An unauthenticated request to the search index and a known note JSON URL returns 401, including after an authenticated request has warmed the CDN cache.</w:t>
      </w:r>
    </w:p>
    <w:p>
      <w:pPr>
        <w:pStyle w:val="ListNumber"/>
      </w:pPr>
      <w:r>
        <w:t>A valid authenticated note request returns the expected JSON content type and a CDN cache hit on a repeated request. A subsequent request without a valid access cookie still returns 401. Browser responses use private, no-store while Vercel's CDN policy is explicitly checked.</w:t>
      </w:r>
    </w:p>
    <w:p>
      <w:pPr>
        <w:pStyle w:val="ListNumber"/>
      </w:pPr>
      <w:r>
        <w:t>Unknown /api/** and /data/** routes do not return the SPA HTML shell. The Vite app's client-side page routes still load correctly after refresh.</w:t>
      </w:r>
    </w:p>
    <w:p>
      <w:pPr>
        <w:pStyle w:val="ListNumber"/>
      </w:pPr>
      <w:r>
        <w:t>A tampered, expired, wrong-audience, wrong-issuer, or non-student access JWT cannot retrieve note content.</w:t>
      </w:r>
    </w:p>
    <w:p>
      <w:pPr>
        <w:pStyle w:val="ListNumber"/>
      </w:pPr>
      <w:r>
        <w:t>The public application shell and JavaScript bundles contain no note bodies, search index, signing keys, database credentials, or refresh tokens.</w:t>
      </w:r>
    </w:p>
    <w:p>
      <w:pPr>
        <w:pStyle w:val="ListNumber"/>
      </w:pPr>
      <w:r>
        <w:t>A hard refresh restores the signed-in state through the refresh flow. Logout and account deletion revoke refresh sessions and clear browser cookies.</w:t>
      </w:r>
    </w:p>
    <w:p>
      <w:pPr>
        <w:pStyle w:val="ListNumber"/>
      </w:pPr>
      <w:r>
        <w:t>Bookmark add and remove work only for the current user. Duplicate add requests create one record. A user cannot read or delete another user's bookmarks.</w:t>
      </w:r>
    </w:p>
    <w:p>
      <w:pPr>
        <w:pStyle w:val="ListNumber"/>
      </w:pPr>
      <w:r>
        <w:t>Bookmark controls update optimistically and return to the server-confirmed state with an actionable error if the API write fails.</w:t>
      </w:r>
    </w:p>
    <w:p>
      <w:pPr>
        <w:pStyle w:val="ListNumber"/>
      </w:pPr>
      <w:r>
        <w:t>Search returns only approved notes, and every result points to a note that exists in the protected manifest.</w:t>
      </w:r>
    </w:p>
    <w:p>
      <w:pPr>
        <w:pStyle w:val="ListNumber"/>
      </w:pPr>
      <w:r>
        <w:t>Raw HTML, javascript links, malicious Markdown, and untrusted KaTeX inputs do not execute script or create an unsafe navigation path.</w:t>
      </w:r>
    </w:p>
    <w:p>
      <w:pPr>
        <w:pStyle w:val="ListNumber"/>
      </w:pPr>
      <w:r>
        <w:t>The deployed preview demonstrates correct middleware ordering and safe cache behavior for both successful and rejected note requests.</w:t>
      </w:r>
    </w:p>
    <w:p>
      <w:pPr>
        <w:pStyle w:val="ListNumber"/>
      </w:pPr>
      <w:r>
        <w:t>Global login and refresh limits are shared across serverless instances. Redis failure behavior is verified and does not disable the limiter or leak internal details.</w:t>
      </w:r>
    </w:p>
    <w:p>
      <w:pPr>
        <w:pStyle w:val="ListNumber"/>
      </w:pPr>
      <w:r>
        <w:t>No service worker or browser Cache Storage contains protected note JSON or the search index after use, logout, and reload.</w:t>
      </w:r>
    </w:p>
    <w:p>
      <w:pPr>
        <w:pStyle w:val="ListNumber"/>
      </w:pPr>
      <w:r>
        <w:t>The Atlas IP allowlist, Vercel plan, and outbound function IPs match the selected launch policy. If a broad allowlist is used, owner approval and compensating controls are recorded.</w:t>
      </w:r>
    </w:p>
    <w:p>
      <w:pPr>
        <w:pStyle w:val="ListNumber"/>
      </w:pPr>
      <w:r>
        <w:t>The performance target is reported with test region, concurrency, warm or cold cache state, sample size, and p95 latency. Do not claim it passed without recorded results.</w:t>
      </w:r>
    </w:p>
    <w:p>
      <w:pPr>
        <w:pStyle w:val="Heading1"/>
        <w:keepNext/>
      </w:pPr>
      <w:r>
        <w:t>12 Implementation Order for Antigravity</w:t>
      </w:r>
    </w:p>
    <w:p>
      <w:pPr>
        <w:pStyle w:val="ListNumber"/>
      </w:pPr>
      <w:r>
        <w:t>Inspect the existing workspace and preserve any working code. Report the current structure and plan before replacing files or changing the selected stack.</w:t>
      </w:r>
    </w:p>
    <w:p>
      <w:pPr>
        <w:pStyle w:val="ListNumber"/>
      </w:pPr>
      <w:r>
        <w:t>Create the Vite and FastAPI skeleton, exact vercel.json route configuration, Routing Middleware matcher, environment examples, private content directories, typed note schema, and local development proxy.</w:t>
      </w:r>
    </w:p>
    <w:p>
      <w:pPr>
        <w:pStyle w:val="ListNumber"/>
      </w:pPr>
      <w:r>
        <w:t>Build the static reader, navigation, themes, metadata search, and responsive layout using fixture notes that contain no private source material.</w:t>
      </w:r>
    </w:p>
    <w:p>
      <w:pPr>
        <w:pStyle w:val="ListNumber"/>
      </w:pPr>
      <w:r>
        <w:t>Implement Google token verification, user persistence, short-lived access JWTs, rotating refresh sessions, logout, account deletion, and CSRF checks.</w:t>
      </w:r>
    </w:p>
    <w:p>
      <w:pPr>
        <w:pStyle w:val="ListNumber"/>
      </w:pPr>
      <w:r>
        <w:t>Implement Vercel Routing Middleware and protect the note index and every note path. Keep note files out of public bundles.</w:t>
      </w:r>
    </w:p>
    <w:p>
      <w:pPr>
        <w:pStyle w:val="ListNumber"/>
      </w:pPr>
      <w:r>
        <w:t>Implement bookmarks and account-scoped database queries. Add the indexes listed in this document.</w:t>
      </w:r>
    </w:p>
    <w:p>
      <w:pPr>
        <w:pStyle w:val="ListNumber"/>
      </w:pPr>
      <w:r>
        <w:t>Implement the Upstash-backed distributed login and refresh limits; add the optimistic bookmark interaction and failure rollback.</w:t>
      </w:r>
    </w:p>
    <w:p>
      <w:pPr>
        <w:pStyle w:val="ListNumber"/>
      </w:pPr>
      <w:r>
        <w:t>Add content validation, preview deployment checks, auth and caching acceptance tests, accessibility checks, and the provisional load test.</w:t>
      </w:r>
    </w:p>
    <w:p>
      <w:pPr>
        <w:pStyle w:val="ListNumber"/>
      </w:pPr>
      <w:r>
        <w:t>Deploy a preview and verify all release criteria before production. Record commands, outcomes, unresolved failures, and any dependency that needs an owner decision.</w:t>
      </w:r>
    </w:p>
    <w:p>
      <w:pPr>
        <w:pStyle w:val="Heading2"/>
        <w:keepNext/>
      </w:pPr>
      <w:r>
        <w:t>Instructions for the Antigravity Coding Agent</w:t>
      </w:r>
    </w:p>
    <w:p>
      <w:pPr>
        <w:pStyle w:val="ListBullet"/>
      </w:pPr>
      <w:r>
        <w:t>Treat this document as the implementation source of truth. If an existing repository instruction conflicts, report the conflict and ask the owner before changing a security or scope decision.</w:t>
      </w:r>
    </w:p>
    <w:p>
      <w:pPr>
        <w:pStyle w:val="ListBullet"/>
      </w:pPr>
      <w:r>
        <w:t>Build only the MVP listed here. Do not add comments, quizzes, heatmaps, live code, automatic AI publication, or ALGO_CORE widgets.</w:t>
      </w:r>
    </w:p>
    <w:p>
      <w:pPr>
        <w:pStyle w:val="ListBullet"/>
      </w:pPr>
      <w:r>
        <w:t>Use current official documentation when selecting package versions or Vercel configuration. Keep lockfiles committed and explain any dependency with a meaningful security or maintenance risk.</w:t>
      </w:r>
    </w:p>
    <w:p>
      <w:pPr>
        <w:pStyle w:val="ListBullet"/>
      </w:pPr>
      <w:r>
        <w:t>Never invent production secrets, project IDs, domains, or content rights. Use placeholders in .env.example and stop before production configuration if required values are missing.</w:t>
      </w:r>
    </w:p>
    <w:p>
      <w:pPr>
        <w:pStyle w:val="ListBullet"/>
      </w:pPr>
      <w:r>
        <w:t>Implement in small vertical slices. Keep the README current with local setup, environment variables, content publishing steps, and deployment verification.</w:t>
      </w:r>
    </w:p>
    <w:p>
      <w:pPr>
        <w:pStyle w:val="ListBullet"/>
      </w:pPr>
      <w:r>
        <w:t>Run and report the relevant checks for each slice. Distinguish completed, failed, and unverified items. Never claim a security or performance criterion passed without observed results.</w:t>
      </w:r>
    </w:p>
    <w:p>
      <w:pPr>
        <w:pStyle w:val="Heading1"/>
        <w:keepNext/>
      </w:pPr>
      <w:r>
        <w:t>13 Owner Decisions Before Production</w:t>
      </w:r>
    </w:p>
    <w:tbl>
      <w:tblPr>
        <w:tblW w:type="auto" w:w="0"/>
        <w:jc w:val="center"/>
        <w:tblLayout w:type="fixed"/>
        <w:tblLook w:firstColumn="1" w:firstRow="1" w:lastColumn="0" w:lastRow="0" w:noHBand="0" w:noVBand="1" w:val="04A0"/>
        <w:tblBorders>
          <w:top w:val="single" w:sz="5" w:space="0" w:color="D9DDE3"/>
          <w:left w:val="single" w:sz="5" w:space="0" w:color="D9DDE3"/>
          <w:bottom w:val="single" w:sz="5" w:space="0" w:color="D9DDE3"/>
          <w:right w:val="single" w:sz="5" w:space="0" w:color="D9DDE3"/>
          <w:insideH w:val="single" w:sz="5" w:space="0" w:color="D9DDE3"/>
          <w:insideV w:val="single" w:sz="5" w:space="0" w:color="D9DDE3"/>
        </w:tblBorders>
      </w:tblPr>
      <w:tblGrid>
        <w:gridCol w:w="4831"/>
        <w:gridCol w:w="4831"/>
      </w:tblGrid>
      <w:tr>
        <w:trPr>
          <w:tblHeader w:val="true"/>
        </w:trPr>
        <w:tc>
          <w:tcPr>
            <w:tcW w:type="dxa" w:w="2376"/>
            <w:vAlign w:val="center"/>
            <w:shd w:fill="253A5B"/>
            <w:tcMar>
              <w:top w:w="90" w:type="dxa"/>
              <w:start w:w="105" w:type="dxa"/>
              <w:bottom w:w="90" w:type="dxa"/>
              <w:end w:w="105" w:type="dxa"/>
            </w:tcMar>
          </w:tcPr>
          <w:p>
            <w:pPr>
              <w:spacing w:after="0"/>
            </w:pPr>
            <w:r>
              <w:rPr>
                <w:rFonts w:ascii="Calibri" w:hAnsi="Calibri"/>
                <w:b/>
                <w:color w:val="FFFFFF"/>
                <w:sz w:val="18"/>
              </w:rPr>
              <w:t>Decision</w:t>
            </w:r>
          </w:p>
        </w:tc>
        <w:tc>
          <w:tcPr>
            <w:tcW w:type="dxa" w:w="7272"/>
            <w:vAlign w:val="center"/>
            <w:shd w:fill="253A5B"/>
            <w:tcMar>
              <w:top w:w="90" w:type="dxa"/>
              <w:start w:w="105" w:type="dxa"/>
              <w:bottom w:w="90" w:type="dxa"/>
              <w:end w:w="105" w:type="dxa"/>
            </w:tcMar>
          </w:tcPr>
          <w:p>
            <w:pPr>
              <w:spacing w:after="0"/>
            </w:pPr>
            <w:r>
              <w:rPr>
                <w:rFonts w:ascii="Calibri" w:hAnsi="Calibri"/>
                <w:b/>
                <w:color w:val="FFFFFF"/>
                <w:sz w:val="18"/>
              </w:rPr>
              <w:t>Current state and required action</w:t>
            </w:r>
          </w:p>
        </w:tc>
      </w:tr>
      <w:tr>
        <w:trPr>
          <w:cantSplit/>
        </w:trPr>
        <w:tc>
          <w:tcPr>
            <w:tcW w:type="dxa" w:w="2376"/>
            <w:vAlign w:val="center"/>
            <w:tcMar>
              <w:top w:w="90" w:type="dxa"/>
              <w:start w:w="105" w:type="dxa"/>
              <w:bottom w:w="90" w:type="dxa"/>
              <w:end w:w="105" w:type="dxa"/>
            </w:tcMar>
          </w:tcPr>
          <w:p>
            <w:pPr>
              <w:spacing w:after="0" w:line="252" w:lineRule="auto"/>
            </w:pPr>
            <w:r>
              <w:rPr>
                <w:rFonts w:ascii="Calibri" w:hAnsi="Calibri"/>
                <w:color w:val="222222"/>
                <w:sz w:val="18"/>
              </w:rPr>
              <w:t>Allowed student email</w:t>
            </w:r>
          </w:p>
        </w:tc>
        <w:tc>
          <w:tcPr>
            <w:tcW w:type="dxa" w:w="7272"/>
            <w:vAlign w:val="center"/>
            <w:tcMar>
              <w:top w:w="90" w:type="dxa"/>
              <w:start w:w="105" w:type="dxa"/>
              <w:bottom w:w="90" w:type="dxa"/>
              <w:end w:w="105" w:type="dxa"/>
            </w:tcMar>
          </w:tcPr>
          <w:p>
            <w:pPr>
              <w:spacing w:after="0" w:line="252" w:lineRule="auto"/>
            </w:pPr>
            <w:r>
              <w:rPr>
                <w:rFonts w:ascii="Calibri" w:hAnsi="Calibri"/>
                <w:color w:val="222222"/>
                <w:sz w:val="18"/>
              </w:rPr>
              <w:t>Confirmed: exact @sst.scaler.com suffix only.</w:t>
            </w:r>
          </w:p>
        </w:tc>
      </w:tr>
      <w:tr>
        <w:trPr>
          <w:cantSplit/>
        </w:trPr>
        <w:tc>
          <w:tcPr>
            <w:tcW w:type="dxa" w:w="2376"/>
            <w:vAlign w:val="center"/>
            <w:tcMar>
              <w:top w:w="90" w:type="dxa"/>
              <w:start w:w="105" w:type="dxa"/>
              <w:bottom w:w="90" w:type="dxa"/>
              <w:end w:w="105" w:type="dxa"/>
            </w:tcMar>
            <w:shd w:fill="F3F6F9"/>
          </w:tcPr>
          <w:p>
            <w:pPr>
              <w:spacing w:after="0" w:line="252" w:lineRule="auto"/>
            </w:pPr>
            <w:r>
              <w:rPr>
                <w:rFonts w:ascii="Calibri" w:hAnsi="Calibri"/>
                <w:color w:val="222222"/>
                <w:sz w:val="18"/>
              </w:rPr>
              <w:t>Hosted-domain claim</w:t>
            </w:r>
          </w:p>
        </w:tc>
        <w:tc>
          <w:tcPr>
            <w:tcW w:type="dxa" w:w="7272"/>
            <w:vAlign w:val="center"/>
            <w:tcMar>
              <w:top w:w="90" w:type="dxa"/>
              <w:start w:w="105" w:type="dxa"/>
              <w:bottom w:w="90" w:type="dxa"/>
              <w:end w:w="105" w:type="dxa"/>
            </w:tcMar>
            <w:shd w:fill="F3F6F9"/>
          </w:tcPr>
          <w:p>
            <w:pPr>
              <w:spacing w:after="0" w:line="252" w:lineRule="auto"/>
            </w:pPr>
            <w:r>
              <w:rPr>
                <w:rFonts w:ascii="Calibri" w:hAnsi="Calibri"/>
                <w:color w:val="222222"/>
                <w:sz w:val="18"/>
              </w:rPr>
              <w:t>Open: Google Workspace administrator must confirm the hd value returned for an approved test account. Configure GOOGLE_ALLOWED_HD separately from the email suffix.</w:t>
            </w:r>
          </w:p>
        </w:tc>
      </w:tr>
      <w:tr>
        <w:trPr>
          <w:cantSplit/>
        </w:trPr>
        <w:tc>
          <w:tcPr>
            <w:tcW w:type="dxa" w:w="2376"/>
            <w:vAlign w:val="center"/>
            <w:tcMar>
              <w:top w:w="90" w:type="dxa"/>
              <w:start w:w="105" w:type="dxa"/>
              <w:bottom w:w="90" w:type="dxa"/>
              <w:end w:w="105" w:type="dxa"/>
            </w:tcMar>
          </w:tcPr>
          <w:p>
            <w:pPr>
              <w:spacing w:after="0" w:line="252" w:lineRule="auto"/>
            </w:pPr>
            <w:r>
              <w:rPr>
                <w:rFonts w:ascii="Calibri" w:hAnsi="Calibri"/>
                <w:color w:val="222222"/>
                <w:sz w:val="18"/>
              </w:rPr>
              <w:t>Content rights</w:t>
            </w:r>
          </w:p>
        </w:tc>
        <w:tc>
          <w:tcPr>
            <w:tcW w:type="dxa" w:w="7272"/>
            <w:vAlign w:val="center"/>
            <w:tcMar>
              <w:top w:w="90" w:type="dxa"/>
              <w:start w:w="105" w:type="dxa"/>
              <w:bottom w:w="90" w:type="dxa"/>
              <w:end w:w="105" w:type="dxa"/>
            </w:tcMar>
          </w:tcPr>
          <w:p>
            <w:pPr>
              <w:spacing w:after="0" w:line="252" w:lineRule="auto"/>
            </w:pPr>
            <w:r>
              <w:rPr>
                <w:rFonts w:ascii="Calibri" w:hAnsi="Calibri"/>
                <w:color w:val="222222"/>
                <w:sz w:val="18"/>
              </w:rPr>
              <w:t>Open: owner confirms each published note is student-authored or otherwise cleared for this audience and processing path.</w:t>
            </w:r>
          </w:p>
        </w:tc>
      </w:tr>
      <w:tr>
        <w:trPr>
          <w:cantSplit/>
        </w:trPr>
        <w:tc>
          <w:tcPr>
            <w:tcW w:type="dxa" w:w="2376"/>
            <w:vAlign w:val="center"/>
            <w:tcMar>
              <w:top w:w="90" w:type="dxa"/>
              <w:start w:w="105" w:type="dxa"/>
              <w:bottom w:w="90" w:type="dxa"/>
              <w:end w:w="105" w:type="dxa"/>
            </w:tcMar>
            <w:shd w:fill="F3F6F9"/>
          </w:tcPr>
          <w:p>
            <w:pPr>
              <w:spacing w:after="0" w:line="252" w:lineRule="auto"/>
            </w:pPr>
            <w:r>
              <w:rPr>
                <w:rFonts w:ascii="Calibri" w:hAnsi="Calibri"/>
                <w:color w:val="222222"/>
                <w:sz w:val="18"/>
              </w:rPr>
              <w:t>Vercel Python runtime</w:t>
            </w:r>
          </w:p>
        </w:tc>
        <w:tc>
          <w:tcPr>
            <w:tcW w:type="dxa" w:w="7272"/>
            <w:vAlign w:val="center"/>
            <w:tcMar>
              <w:top w:w="90" w:type="dxa"/>
              <w:start w:w="105" w:type="dxa"/>
              <w:bottom w:w="90" w:type="dxa"/>
              <w:end w:w="105" w:type="dxa"/>
            </w:tcMar>
            <w:shd w:fill="F3F6F9"/>
          </w:tcPr>
          <w:p>
            <w:pPr>
              <w:spacing w:after="0" w:line="252" w:lineRule="auto"/>
            </w:pPr>
            <w:r>
              <w:rPr>
                <w:rFonts w:ascii="Calibri" w:hAnsi="Calibri"/>
                <w:color w:val="222222"/>
                <w:sz w:val="18"/>
              </w:rPr>
              <w:t>Open launch gate: preview must prove the current Python runtime, Vite build, and Routing Middleware work together and fit account limits.</w:t>
            </w:r>
          </w:p>
        </w:tc>
      </w:tr>
      <w:tr>
        <w:trPr>
          <w:cantSplit/>
        </w:trPr>
        <w:tc>
          <w:tcPr>
            <w:tcW w:type="dxa" w:w="2376"/>
            <w:vAlign w:val="center"/>
            <w:tcMar>
              <w:top w:w="90" w:type="dxa"/>
              <w:start w:w="105" w:type="dxa"/>
              <w:bottom w:w="90" w:type="dxa"/>
              <w:end w:w="105" w:type="dxa"/>
            </w:tcMar>
          </w:tcPr>
          <w:p>
            <w:pPr>
              <w:spacing w:after="0" w:line="252" w:lineRule="auto"/>
            </w:pPr>
            <w:r>
              <w:rPr>
                <w:rFonts w:ascii="Calibri" w:hAnsi="Calibri"/>
                <w:color w:val="222222"/>
                <w:sz w:val="18"/>
              </w:rPr>
              <w:t>Atlas network access</w:t>
            </w:r>
          </w:p>
        </w:tc>
        <w:tc>
          <w:tcPr>
            <w:tcW w:type="dxa" w:w="7272"/>
            <w:vAlign w:val="center"/>
            <w:tcMar>
              <w:top w:w="90" w:type="dxa"/>
              <w:start w:w="105" w:type="dxa"/>
              <w:bottom w:w="90" w:type="dxa"/>
              <w:end w:w="105" w:type="dxa"/>
            </w:tcMar>
          </w:tcPr>
          <w:p>
            <w:pPr>
              <w:spacing w:after="0" w:line="252" w:lineRule="auto"/>
            </w:pPr>
            <w:r>
              <w:rPr>
                <w:rFonts w:ascii="Calibri" w:hAnsi="Calibri"/>
                <w:color w:val="222222"/>
                <w:sz w:val="18"/>
              </w:rPr>
              <w:t>Open launch gate: decide between a Vercel Pro/Enterprise Static IP allowlist and a different backend/network plan. If using Hobby/free Vercel with 0.0.0.0/0, record the owner's explicit risk acceptance and compensating controls before production.</w:t>
            </w:r>
          </w:p>
        </w:tc>
      </w:tr>
      <w:tr>
        <w:trPr>
          <w:cantSplit/>
        </w:trPr>
        <w:tc>
          <w:tcPr>
            <w:tcW w:type="dxa" w:w="2376"/>
            <w:vAlign w:val="center"/>
            <w:tcMar>
              <w:top w:w="90" w:type="dxa"/>
              <w:start w:w="105" w:type="dxa"/>
              <w:bottom w:w="90" w:type="dxa"/>
              <w:end w:w="105" w:type="dxa"/>
            </w:tcMar>
            <w:shd w:fill="F3F6F9"/>
          </w:tcPr>
          <w:p>
            <w:pPr>
              <w:spacing w:after="0" w:line="252" w:lineRule="auto"/>
            </w:pPr>
            <w:r>
              <w:rPr>
                <w:rFonts w:ascii="Calibri" w:hAnsi="Calibri"/>
                <w:color w:val="222222"/>
                <w:sz w:val="18"/>
              </w:rPr>
              <w:t>Upstash limits and outage policy</w:t>
            </w:r>
          </w:p>
        </w:tc>
        <w:tc>
          <w:tcPr>
            <w:tcW w:type="dxa" w:w="7272"/>
            <w:vAlign w:val="center"/>
            <w:tcMar>
              <w:top w:w="90" w:type="dxa"/>
              <w:start w:w="105" w:type="dxa"/>
              <w:bottom w:w="90" w:type="dxa"/>
              <w:end w:w="105" w:type="dxa"/>
            </w:tcMar>
            <w:shd w:fill="F3F6F9"/>
          </w:tcPr>
          <w:p>
            <w:pPr>
              <w:spacing w:after="0" w:line="252" w:lineRule="auto"/>
            </w:pPr>
            <w:r>
              <w:rPr>
                <w:rFonts w:ascii="Calibri" w:hAnsi="Calibri"/>
                <w:color w:val="222222"/>
                <w:sz w:val="18"/>
              </w:rPr>
              <w:t>Open: confirm current Redis quota and cost, select initial thresholds that tolerate campus NAT, and approve the 503 fail-closed behavior if Redis is down.</w:t>
            </w:r>
          </w:p>
        </w:tc>
      </w:tr>
      <w:tr>
        <w:trPr>
          <w:cantSplit/>
        </w:trPr>
        <w:tc>
          <w:tcPr>
            <w:tcW w:type="dxa" w:w="2376"/>
            <w:vAlign w:val="center"/>
            <w:tcMar>
              <w:top w:w="90" w:type="dxa"/>
              <w:start w:w="105" w:type="dxa"/>
              <w:bottom w:w="90" w:type="dxa"/>
              <w:end w:w="105" w:type="dxa"/>
            </w:tcMar>
          </w:tcPr>
          <w:p>
            <w:pPr>
              <w:spacing w:after="0" w:line="252" w:lineRule="auto"/>
            </w:pPr>
            <w:r>
              <w:rPr>
                <w:rFonts w:ascii="Calibri" w:hAnsi="Calibri"/>
                <w:color w:val="222222"/>
                <w:sz w:val="18"/>
              </w:rPr>
              <w:t>Offline reading</w:t>
            </w:r>
          </w:p>
        </w:tc>
        <w:tc>
          <w:tcPr>
            <w:tcW w:type="dxa" w:w="7272"/>
            <w:vAlign w:val="center"/>
            <w:tcMar>
              <w:top w:w="90" w:type="dxa"/>
              <w:start w:w="105" w:type="dxa"/>
              <w:bottom w:w="90" w:type="dxa"/>
              <w:end w:w="105" w:type="dxa"/>
            </w:tcMar>
          </w:tcPr>
          <w:p>
            <w:pPr>
              <w:spacing w:after="0" w:line="252" w:lineRule="auto"/>
            </w:pPr>
            <w:r>
              <w:rPr>
                <w:rFonts w:ascii="Calibri" w:hAnsi="Calibri"/>
                <w:color w:val="222222"/>
                <w:sz w:val="18"/>
              </w:rPr>
              <w:t>Deferred: protected JSON is not stored by a service worker. Any future offline mode needs an explicit local-retention and revocation policy.</w:t>
            </w:r>
          </w:p>
        </w:tc>
      </w:tr>
      <w:tr>
        <w:trPr>
          <w:cantSplit/>
        </w:trPr>
        <w:tc>
          <w:tcPr>
            <w:tcW w:type="dxa" w:w="2376"/>
            <w:vAlign w:val="center"/>
            <w:tcMar>
              <w:top w:w="90" w:type="dxa"/>
              <w:start w:w="105" w:type="dxa"/>
              <w:bottom w:w="90" w:type="dxa"/>
              <w:end w:w="105" w:type="dxa"/>
            </w:tcMar>
            <w:shd w:fill="F3F6F9"/>
          </w:tcPr>
          <w:p>
            <w:pPr>
              <w:spacing w:after="0" w:line="252" w:lineRule="auto"/>
            </w:pPr>
            <w:r>
              <w:rPr>
                <w:rFonts w:ascii="Calibri" w:hAnsi="Calibri"/>
                <w:color w:val="222222"/>
                <w:sz w:val="18"/>
              </w:rPr>
              <w:t>Vercel routes</w:t>
            </w:r>
          </w:p>
        </w:tc>
        <w:tc>
          <w:tcPr>
            <w:tcW w:type="dxa" w:w="7272"/>
            <w:vAlign w:val="center"/>
            <w:tcMar>
              <w:top w:w="90" w:type="dxa"/>
              <w:start w:w="105" w:type="dxa"/>
              <w:bottom w:w="90" w:type="dxa"/>
              <w:end w:w="105" w:type="dxa"/>
            </w:tcMar>
            <w:shd w:fill="F3F6F9"/>
          </w:tcPr>
          <w:p>
            <w:pPr>
              <w:spacing w:after="0" w:line="252" w:lineRule="auto"/>
            </w:pPr>
            <w:r>
              <w:rPr>
                <w:rFonts w:ascii="Calibri" w:hAnsi="Calibri"/>
                <w:color w:val="222222"/>
                <w:sz w:val="18"/>
              </w:rPr>
              <w:t>Open launch gate: exact vercel.json and middleware matcher are created from the repository layout and verified on a Vercel preview; generic rewrite examples are not assumed to be correct.</w:t>
            </w:r>
          </w:p>
        </w:tc>
      </w:tr>
      <w:tr>
        <w:trPr>
          <w:cantSplit/>
        </w:trPr>
        <w:tc>
          <w:tcPr>
            <w:tcW w:type="dxa" w:w="2376"/>
            <w:vAlign w:val="center"/>
            <w:tcMar>
              <w:top w:w="90" w:type="dxa"/>
              <w:start w:w="105" w:type="dxa"/>
              <w:bottom w:w="90" w:type="dxa"/>
              <w:end w:w="105" w:type="dxa"/>
            </w:tcMar>
          </w:tcPr>
          <w:p>
            <w:pPr>
              <w:spacing w:after="0" w:line="252" w:lineRule="auto"/>
            </w:pPr>
            <w:r>
              <w:rPr>
                <w:rFonts w:ascii="Calibri" w:hAnsi="Calibri"/>
                <w:color w:val="222222"/>
                <w:sz w:val="18"/>
              </w:rPr>
              <w:t>Exam-week concurrency</w:t>
            </w:r>
          </w:p>
        </w:tc>
        <w:tc>
          <w:tcPr>
            <w:tcW w:type="dxa" w:w="7272"/>
            <w:vAlign w:val="center"/>
            <w:tcMar>
              <w:top w:w="90" w:type="dxa"/>
              <w:start w:w="105" w:type="dxa"/>
              <w:bottom w:w="90" w:type="dxa"/>
              <w:end w:w="105" w:type="dxa"/>
            </w:tcMar>
          </w:tcPr>
          <w:p>
            <w:pPr>
              <w:spacing w:after="0" w:line="252" w:lineRule="auto"/>
            </w:pPr>
            <w:r>
              <w:rPr>
                <w:rFonts w:ascii="Calibri" w:hAnsi="Calibri"/>
                <w:color w:val="222222"/>
                <w:sz w:val="18"/>
              </w:rPr>
              <w:t>Open: 100 simultaneous reads is a provisional test baseline. Replace it with a measured estimate before calling the performance target final.</w:t>
            </w:r>
          </w:p>
        </w:tc>
      </w:tr>
    </w:tbl>
    <w:p/>
    <w:p>
      <w:pPr>
        <w:pStyle w:val="Heading1"/>
        <w:keepNext/>
      </w:pPr>
      <w:r>
        <w:t>14 Official Implementation References</w:t>
      </w:r>
    </w:p>
    <w:p>
      <w:r>
        <w:t>Check these vendor references again during implementation because product limits and runtime support can change.</w:t>
      </w:r>
    </w:p>
    <w:p>
      <w:pPr>
        <w:pStyle w:val="ListBullet"/>
      </w:pPr>
      <w:hyperlink r:id="rId9">
        <w:r>
          <w:rPr>
            <w:color w:val="1F4E79"/>
            <w:u w:val="single"/>
          </w:rPr>
          <w:t>Google server-side ID token verification</w:t>
        </w:r>
      </w:hyperlink>
    </w:p>
    <w:p>
      <w:pPr>
        <w:pStyle w:val="ListBullet"/>
      </w:pPr>
      <w:hyperlink r:id="rId10">
        <w:r>
          <w:rPr>
            <w:color w:val="1F4E79"/>
            <w:u w:val="single"/>
          </w:rPr>
          <w:t>Google OpenID Connect claims</w:t>
        </w:r>
      </w:hyperlink>
    </w:p>
    <w:p>
      <w:pPr>
        <w:pStyle w:val="ListBullet"/>
      </w:pPr>
      <w:hyperlink r:id="rId11">
        <w:r>
          <w:rPr>
            <w:color w:val="1F4E79"/>
            <w:u w:val="single"/>
          </w:rPr>
          <w:t>Vercel Routing Middleware</w:t>
        </w:r>
      </w:hyperlink>
    </w:p>
    <w:p>
      <w:pPr>
        <w:pStyle w:val="ListBullet"/>
      </w:pPr>
      <w:hyperlink r:id="rId12">
        <w:r>
          <w:rPr>
            <w:color w:val="1F4E79"/>
            <w:u w:val="single"/>
          </w:rPr>
          <w:t>Vercel Python runtime and FastAPI</w:t>
        </w:r>
      </w:hyperlink>
    </w:p>
    <w:p>
      <w:pPr>
        <w:pStyle w:val="ListBullet"/>
      </w:pPr>
      <w:hyperlink r:id="rId13">
        <w:r>
          <w:rPr>
            <w:color w:val="1F4E79"/>
            <w:u w:val="single"/>
          </w:rPr>
          <w:t>Vercel account plans</w:t>
        </w:r>
      </w:hyperlink>
    </w:p>
    <w:p>
      <w:pPr>
        <w:pStyle w:val="ListBullet"/>
      </w:pPr>
      <w:hyperlink r:id="rId14">
        <w:r>
          <w:rPr>
            <w:color w:val="1F4E79"/>
            <w:u w:val="single"/>
          </w:rPr>
          <w:t>Vercel CDN caching</w:t>
        </w:r>
      </w:hyperlink>
    </w:p>
    <w:p>
      <w:pPr>
        <w:pStyle w:val="ListBullet"/>
      </w:pPr>
      <w:hyperlink r:id="rId15">
        <w:r>
          <w:rPr>
            <w:color w:val="1F4E79"/>
            <w:u w:val="single"/>
          </w:rPr>
          <w:t>Vercel cache-control headers</w:t>
        </w:r>
      </w:hyperlink>
    </w:p>
    <w:p>
      <w:pPr>
        <w:pStyle w:val="ListBullet"/>
      </w:pPr>
      <w:hyperlink r:id="rId16">
        <w:r>
          <w:rPr>
            <w:color w:val="1F4E79"/>
            <w:u w:val="single"/>
          </w:rPr>
          <w:t>Vercel Static IPs and plan eligibility</w:t>
        </w:r>
      </w:hyperlink>
    </w:p>
    <w:p>
      <w:pPr>
        <w:pStyle w:val="ListBullet"/>
      </w:pPr>
      <w:hyperlink r:id="rId17">
        <w:r>
          <w:rPr>
            <w:color w:val="1F4E79"/>
            <w:u w:val="single"/>
          </w:rPr>
          <w:t>Vercel vercel.json configuration and rewrites</w:t>
        </w:r>
      </w:hyperlink>
    </w:p>
    <w:p>
      <w:pPr>
        <w:pStyle w:val="ListBullet"/>
      </w:pPr>
      <w:hyperlink r:id="rId18">
        <w:r>
          <w:rPr>
            <w:color w:val="1F4E79"/>
            <w:u w:val="single"/>
          </w:rPr>
          <w:t>Upstash Redis on Vercel</w:t>
        </w:r>
      </w:hyperlink>
    </w:p>
    <w:p>
      <w:pPr>
        <w:pStyle w:val="ListBullet"/>
      </w:pPr>
      <w:hyperlink r:id="rId19">
        <w:r>
          <w:rPr>
            <w:color w:val="1F4E79"/>
            <w:u w:val="single"/>
          </w:rPr>
          <w:t>Upstash Python rate limiter</w:t>
        </w:r>
      </w:hyperlink>
    </w:p>
    <w:p>
      <w:pPr>
        <w:pStyle w:val="ListBullet"/>
      </w:pPr>
      <w:hyperlink r:id="rId20">
        <w:r>
          <w:rPr>
            <w:color w:val="1F4E79"/>
            <w:u w:val="single"/>
          </w:rPr>
          <w:t>Upstash Redis pricing and free-tier quotas</w:t>
        </w:r>
      </w:hyperlink>
    </w:p>
    <w:p>
      <w:pPr>
        <w:pStyle w:val="ListBullet"/>
      </w:pPr>
      <w:hyperlink r:id="rId21">
        <w:r>
          <w:rPr>
            <w:color w:val="1F4E79"/>
            <w:u w:val="single"/>
          </w:rPr>
          <w:t>Vercel FastAPI deployment</w:t>
        </w:r>
      </w:hyperlink>
    </w:p>
    <w:p>
      <w:pPr>
        <w:pStyle w:val="ListBullet"/>
      </w:pPr>
      <w:hyperlink r:id="rId22">
        <w:r>
          <w:rPr>
            <w:color w:val="1F4E79"/>
            <w:u w:val="single"/>
          </w:rPr>
          <w:t>MongoDB Atlas Free cluster limits</w:t>
        </w:r>
      </w:hyperlink>
    </w:p>
    <w:p>
      <w:pPr>
        <w:pStyle w:val="ListBullet"/>
      </w:pPr>
      <w:hyperlink r:id="rId23">
        <w:r>
          <w:rPr>
            <w:color w:val="1F4E79"/>
            <w:u w:val="single"/>
          </w:rPr>
          <w:t>Gemini 3.8 Flash model information</w:t>
        </w:r>
      </w:hyperlink>
    </w:p>
    <w:sectPr w:rsidR="00FC693F" w:rsidRPr="0006063C" w:rsidSect="00034616">
      <w:pgSz w:w="11909" w:h="16834"/>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b w:val="0"/>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evelopers.google.com/identity/gsi/web/guides/verify-google-id-token" TargetMode="External"/><Relationship Id="rId10" Type="http://schemas.openxmlformats.org/officeDocument/2006/relationships/hyperlink" Target="https://developers.google.com/identity/openid-connect/openid-connect" TargetMode="External"/><Relationship Id="rId11" Type="http://schemas.openxmlformats.org/officeDocument/2006/relationships/hyperlink" Target="https://vercel.com/docs/routing-middleware" TargetMode="External"/><Relationship Id="rId12" Type="http://schemas.openxmlformats.org/officeDocument/2006/relationships/hyperlink" Target="https://vercel.com/docs/functions/runtimes/python" TargetMode="External"/><Relationship Id="rId13" Type="http://schemas.openxmlformats.org/officeDocument/2006/relationships/hyperlink" Target="https://vercel.com/docs/plans" TargetMode="External"/><Relationship Id="rId14" Type="http://schemas.openxmlformats.org/officeDocument/2006/relationships/hyperlink" Target="https://vercel.com/docs/caching/cdn-cache" TargetMode="External"/><Relationship Id="rId15" Type="http://schemas.openxmlformats.org/officeDocument/2006/relationships/hyperlink" Target="https://vercel.com/docs/caching/cache-control-headers" TargetMode="External"/><Relationship Id="rId16" Type="http://schemas.openxmlformats.org/officeDocument/2006/relationships/hyperlink" Target="https://vercel.com/kb/guide/how-to-allowlist-deployment-ip-address" TargetMode="External"/><Relationship Id="rId17" Type="http://schemas.openxmlformats.org/officeDocument/2006/relationships/hyperlink" Target="https://vercel.com/docs/project-configuration/vercel-json" TargetMode="External"/><Relationship Id="rId18" Type="http://schemas.openxmlformats.org/officeDocument/2006/relationships/hyperlink" Target="https://vercel.com/docs/redis" TargetMode="External"/><Relationship Id="rId19" Type="http://schemas.openxmlformats.org/officeDocument/2006/relationships/hyperlink" Target="https://upstash.com/docs/redis/sdks/ratelimit-py/overview" TargetMode="External"/><Relationship Id="rId20" Type="http://schemas.openxmlformats.org/officeDocument/2006/relationships/hyperlink" Target="https://upstash.com/pricing/redis" TargetMode="External"/><Relationship Id="rId21" Type="http://schemas.openxmlformats.org/officeDocument/2006/relationships/hyperlink" Target="https://vercel.com/docs/frameworks/backend/fastapi" TargetMode="External"/><Relationship Id="rId22" Type="http://schemas.openxmlformats.org/officeDocument/2006/relationships/hyperlink" Target="https://www.mongodb.com/docs/atlas/reference/free-shared-limitations/" TargetMode="External"/><Relationship Id="rId23" Type="http://schemas.openxmlformats.org/officeDocument/2006/relationships/hyperlink" Target="https://ai.google.dev/gemini-api/docs/models/gemini-3.8-flas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Antigravity Study Platform Technical Design Document</dc:title>
  <dc:subject>MVP architecture and implementation requirements</dc:subject>
  <dc:creator>Surya Pratap Singh Rawat</dc:creator>
  <cp:keywords>Antigravity, study platform, technical design, MVP</cp:keywords>
  <dc:description>generated by python-docx</dc:description>
  <cp:lastModifiedBy/>
  <cp:revision>1</cp:revision>
  <dcterms:created xsi:type="dcterms:W3CDTF">2013-12-23T23:15:00Z</dcterms:created>
  <dcterms:modified xsi:type="dcterms:W3CDTF">2013-12-23T23:15:00Z</dcterms:modified>
  <cp:category/>
</cp:coreProperties>
</file>