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DE59C" w14:textId="77777777" w:rsidR="001511F8" w:rsidRDefault="00000000">
      <w:pPr>
        <w:pStyle w:val="Titel"/>
      </w:pPr>
      <w:r>
        <w:t>Änderungsvorschläge</w:t>
      </w:r>
    </w:p>
    <w:p w14:paraId="4013A82A" w14:textId="60FB285C" w:rsidR="001511F8" w:rsidRDefault="00000000" w:rsidP="00D11E59">
      <w:pPr>
        <w:pStyle w:val="Untertitel"/>
      </w:pPr>
      <w:r>
        <w:t xml:space="preserve">Projektdokumentation – </w:t>
      </w:r>
      <w:proofErr w:type="spellStart"/>
      <w:r>
        <w:t>BergTech</w:t>
      </w:r>
      <w:proofErr w:type="spellEnd"/>
      <w:r>
        <w:t xml:space="preserve"> HR Knowledge Assistant</w:t>
      </w:r>
    </w:p>
    <w:p w14:paraId="7421FC6E" w14:textId="0BC7773C" w:rsidR="001511F8" w:rsidRDefault="00D11E59">
      <w:pPr>
        <w:pStyle w:val="berschrift2"/>
      </w:pPr>
      <w:r>
        <w:t>EU</w:t>
      </w:r>
      <w:r w:rsidR="00000000">
        <w:t>-AI-Act-Rollenzuordnung "Provider"</w:t>
      </w:r>
    </w:p>
    <w:p w14:paraId="56DE053D" w14:textId="77777777" w:rsidR="001511F8" w:rsidRDefault="00000000">
      <w:r>
        <w:rPr>
          <w:b/>
          <w:bCs/>
          <w:color w:val="1F4E79"/>
        </w:rPr>
        <w:t xml:space="preserve">Absatz im Original: </w:t>
      </w:r>
      <w:r>
        <w:t>Absatz 165 (Kap. 7.1 B, Rollendefinition)</w:t>
      </w:r>
    </w:p>
    <w:p w14:paraId="1E7BE9FA" w14:textId="77777777" w:rsidR="001511F8" w:rsidRDefault="00000000">
      <w:r>
        <w:rPr>
          <w:b/>
          <w:bCs/>
          <w:color w:val="1F4E79"/>
        </w:rPr>
        <w:t>Aktueller Text:</w:t>
      </w:r>
    </w:p>
    <w:p w14:paraId="12CBD61E" w14:textId="77777777" w:rsidR="001511F8" w:rsidRDefault="00000000">
      <w:pPr>
        <w:pStyle w:val="IntensivesZitat"/>
      </w:pPr>
      <w:r>
        <w:t>„Provider: Externer Entwickler des zugrunde liegenden Sprachmodells (OpenAI) (OpenAI).“</w:t>
      </w:r>
    </w:p>
    <w:p w14:paraId="30E1FC84" w14:textId="77777777" w:rsidR="001511F8" w:rsidRDefault="00000000">
      <w:r>
        <w:rPr>
          <w:b/>
          <w:bCs/>
          <w:color w:val="1F4E79"/>
        </w:rPr>
        <w:t>Vorschlag:</w:t>
      </w:r>
    </w:p>
    <w:p w14:paraId="05E02A8A" w14:textId="6821B0B0" w:rsidR="001511F8" w:rsidRDefault="00000000">
      <w:r>
        <w:t>Provider (im Sinn von Art. 3 Nr. 3 EU AI Act): Gruppe 1 als Entwicklerin und Inverkehrbringerin des HR-Bot-Systems. Deployer (Art. 3 Nr. 4): BergTech Maschinenbau GmbH. Affected Persons (Art. 26 Abs. 7): BergTech-Mitarbeitende. GPAI-Provider (Art. 3 Nr. 63, Art. 51 ff.): OpenAI als Anbieter der Basismodelle gpt-5-mini und text-embedding-3-small</w:t>
      </w:r>
      <w:r w:rsidR="00666981">
        <w:t xml:space="preserve">…. Sind wir Provider? Ist sicherlich auch eine Diskussion, da wir ein AI-Tool in Verkehr bringen… für was sind wir an der Stelle </w:t>
      </w:r>
      <w:proofErr w:type="gramStart"/>
      <w:r w:rsidR="00666981">
        <w:t>verantwortlich</w:t>
      </w:r>
      <w:proofErr w:type="gramEnd"/>
      <w:r w:rsidR="00666981">
        <w:t xml:space="preserve"> wenn wir es für sie entwickeln? </w:t>
      </w:r>
      <w:r>
        <w:t xml:space="preserve">Der EU AI Act unterscheidet ausdrücklich zwischen dem Provider eines konkreten KI-Systems und dem Provider eines General-Purpose-AI-Modells. </w:t>
      </w:r>
      <w:r w:rsidR="00666981">
        <w:t xml:space="preserve">Da sollten wir auf jeden Fall nochmal nachlesen und es entsprechend </w:t>
      </w:r>
      <w:proofErr w:type="gramStart"/>
      <w:r w:rsidR="0000329E">
        <w:t>zitieren</w:t>
      </w:r>
      <w:proofErr w:type="gramEnd"/>
      <w:r w:rsidR="0000329E">
        <w:t xml:space="preserve"> wenn wir uns für eine Version entschieden haben – Im Unterricht hatten wir nicht den Fall, dass auf Basis von einem LLM etwas gebaut wird, dass dann eine andere Firma nutzt.</w:t>
      </w:r>
    </w:p>
    <w:p w14:paraId="03CCAE54" w14:textId="77777777" w:rsidR="001511F8" w:rsidRDefault="00000000">
      <w:r>
        <w:rPr>
          <w:b/>
          <w:bCs/>
          <w:color w:val="1F4E79"/>
        </w:rPr>
        <w:t xml:space="preserve">Quelle(n): </w:t>
      </w:r>
      <w:r>
        <w:t>European Parliament and Council of the European Union (2024); Veale, M., &amp; Zuiderveen Borgesius, F (2021); Hacker, P., Engel, A., &amp; Mauer, M (2023)</w:t>
      </w:r>
    </w:p>
    <w:p w14:paraId="5E4876D9" w14:textId="77777777" w:rsidR="001511F8" w:rsidRDefault="001511F8"/>
    <w:p w14:paraId="1D0454BA" w14:textId="4F5CE8AA" w:rsidR="001511F8" w:rsidRDefault="00000000">
      <w:pPr>
        <w:pStyle w:val="berschrift2"/>
      </w:pPr>
      <w:r>
        <w:t>Begriff "Nutzer" entspricht nicht der EU-AI-Act-</w:t>
      </w:r>
      <w:r w:rsidR="00D11E59">
        <w:t>Wording</w:t>
      </w:r>
    </w:p>
    <w:p w14:paraId="4A331AA4" w14:textId="77777777" w:rsidR="001511F8" w:rsidRDefault="00000000">
      <w:r>
        <w:rPr>
          <w:b/>
          <w:bCs/>
          <w:color w:val="1F4E79"/>
        </w:rPr>
        <w:t xml:space="preserve">Absatz im Original: </w:t>
      </w:r>
      <w:r>
        <w:t>Absatz 167 (Kap. 7.1 B)</w:t>
      </w:r>
    </w:p>
    <w:p w14:paraId="2591F2D3" w14:textId="77777777" w:rsidR="001511F8" w:rsidRDefault="00000000">
      <w:r>
        <w:rPr>
          <w:b/>
          <w:bCs/>
          <w:color w:val="1F4E79"/>
        </w:rPr>
        <w:t>Aktueller Text:</w:t>
      </w:r>
    </w:p>
    <w:p w14:paraId="6B1D5C0C" w14:textId="77777777" w:rsidR="001511F8" w:rsidRDefault="00000000">
      <w:pPr>
        <w:pStyle w:val="IntensivesZitat"/>
      </w:pPr>
      <w:r>
        <w:t>„Nutzer: Mitarbeiter der BergTech Maschinenbau GmbH.“</w:t>
      </w:r>
    </w:p>
    <w:p w14:paraId="60611891" w14:textId="77777777" w:rsidR="001511F8" w:rsidRDefault="00000000">
      <w:r>
        <w:rPr>
          <w:b/>
          <w:bCs/>
          <w:color w:val="1F4E79"/>
        </w:rPr>
        <w:t>Vorschlag:</w:t>
      </w:r>
    </w:p>
    <w:p w14:paraId="07F85536" w14:textId="77777777" w:rsidR="001511F8" w:rsidRDefault="00000000">
      <w:r>
        <w:t>Affected Persons / Betroffene Personen (Art. 26 Abs. 7 EU AI Act): BergTech-Mitarbeitende, die mit dem System interagieren.</w:t>
      </w:r>
    </w:p>
    <w:p w14:paraId="5CE9A69F" w14:textId="5E40BC91" w:rsidR="001511F8" w:rsidRDefault="00000000">
      <w:r>
        <w:rPr>
          <w:b/>
          <w:bCs/>
          <w:color w:val="1F4E79"/>
        </w:rPr>
        <w:lastRenderedPageBreak/>
        <w:t xml:space="preserve">Begründung: </w:t>
      </w:r>
      <w:r>
        <w:t xml:space="preserve">Der Begriff "user" wurde im Lauf des Gesetzgebungsverfahrens zur finalen Verordnung in "Deployer" (für die einsetzende Organisation) und "Affected Persons" (für betroffene natürliche Personen) ausdifferenziert. Die Verwendung von "Nutzer" als eigenständige Rolle ist nicht </w:t>
      </w:r>
      <w:r w:rsidR="00D11E59">
        <w:t xml:space="preserve">mehr im </w:t>
      </w:r>
      <w:proofErr w:type="gramStart"/>
      <w:r w:rsidR="00D11E59">
        <w:t>AI Act</w:t>
      </w:r>
      <w:proofErr w:type="gramEnd"/>
      <w:r w:rsidR="00D11E59">
        <w:t xml:space="preserve"> zu finden</w:t>
      </w:r>
      <w:r>
        <w:t>.</w:t>
      </w:r>
    </w:p>
    <w:p w14:paraId="0AAA0FD6" w14:textId="77777777" w:rsidR="001511F8" w:rsidRDefault="00000000">
      <w:r>
        <w:rPr>
          <w:b/>
          <w:bCs/>
          <w:color w:val="1F4E79"/>
        </w:rPr>
        <w:t xml:space="preserve">Quelle(n): </w:t>
      </w:r>
      <w:r>
        <w:t>European Parliament and Council of the European Union (2024); Edwards, L (2022)</w:t>
      </w:r>
    </w:p>
    <w:p w14:paraId="6F71473B" w14:textId="77777777" w:rsidR="001511F8" w:rsidRDefault="001511F8"/>
    <w:p w14:paraId="67C68AA8" w14:textId="6E278C99" w:rsidR="001511F8" w:rsidRDefault="00000000">
      <w:pPr>
        <w:pStyle w:val="berschrift2"/>
      </w:pPr>
      <w:r>
        <w:t>Maßnahme "Pseudonymisierung" ist im Workflow nicht implementiert</w:t>
      </w:r>
    </w:p>
    <w:p w14:paraId="46C24259" w14:textId="77777777" w:rsidR="001511F8" w:rsidRDefault="00000000">
      <w:r>
        <w:rPr>
          <w:b/>
          <w:bCs/>
          <w:color w:val="1F4E79"/>
        </w:rPr>
        <w:t xml:space="preserve">Absatz im Original: </w:t>
      </w:r>
      <w:r>
        <w:t>Absatz 136 (Risikotabelle, Zeile "Verarbeitung sensibler Mitarbeiterdaten")</w:t>
      </w:r>
    </w:p>
    <w:p w14:paraId="257818B7" w14:textId="77777777" w:rsidR="001511F8" w:rsidRDefault="00000000">
      <w:r>
        <w:rPr>
          <w:b/>
          <w:bCs/>
          <w:color w:val="1F4E79"/>
        </w:rPr>
        <w:t>Aktueller Text:</w:t>
      </w:r>
    </w:p>
    <w:p w14:paraId="0B58E9CB" w14:textId="77777777" w:rsidR="001511F8" w:rsidRDefault="00000000">
      <w:pPr>
        <w:pStyle w:val="IntensivesZitat"/>
      </w:pPr>
      <w:r>
        <w:t>„Keine Speicherung personenbezogener Daten; DSGVO-konformer Betrieb; Pseudonymisierung“</w:t>
      </w:r>
    </w:p>
    <w:p w14:paraId="6D0DC4E5" w14:textId="77777777" w:rsidR="001511F8" w:rsidRDefault="00000000">
      <w:r>
        <w:rPr>
          <w:b/>
          <w:bCs/>
          <w:color w:val="1F4E79"/>
        </w:rPr>
        <w:t>Vorschlag:</w:t>
      </w:r>
    </w:p>
    <w:p w14:paraId="44476F37" w14:textId="77777777" w:rsidR="001511F8" w:rsidRDefault="00000000">
      <w:r>
        <w:t>Keine personenbezogenen Daten in der Wissensbasis (Policies, nicht Personaldaten); Supabase-Region Frankfurt (EU-Central) zur DSGVO-Konformität; Row-Level-Security beschränkt Zugriffe auf den service_role-Schlüssel; Nutzeranfragen werden nicht persistent gespeichert.</w:t>
      </w:r>
    </w:p>
    <w:p w14:paraId="03826BB9" w14:textId="06C792B6" w:rsidR="001511F8" w:rsidRDefault="00000000">
      <w:r>
        <w:rPr>
          <w:b/>
          <w:bCs/>
          <w:color w:val="1F4E79"/>
        </w:rPr>
        <w:t xml:space="preserve">Begründung: </w:t>
      </w:r>
      <w:r>
        <w:t xml:space="preserve">Pseudonymisierung im Sinn von Art. 4 Nr. 5 DSGVO ist eine konkrete technische Maßnahme. Wir haben sie nicht implementiert. </w:t>
      </w:r>
      <w:r w:rsidR="00D11E59">
        <w:t>G</w:t>
      </w:r>
      <w:r>
        <w:t>enannte alternative Maßnahmen sind tatsächlich vorhanden und genauso wirksam.</w:t>
      </w:r>
    </w:p>
    <w:p w14:paraId="3D6B4A69" w14:textId="77777777" w:rsidR="001511F8" w:rsidRDefault="00000000">
      <w:r>
        <w:rPr>
          <w:b/>
          <w:bCs/>
          <w:color w:val="1F4E79"/>
        </w:rPr>
        <w:t xml:space="preserve">Quelle(n): </w:t>
      </w:r>
      <w:r>
        <w:t>European Parliament and Council of the European Union (2016)</w:t>
      </w:r>
    </w:p>
    <w:p w14:paraId="79A17CE9" w14:textId="77777777" w:rsidR="001511F8" w:rsidRDefault="001511F8"/>
    <w:p w14:paraId="4341F38D" w14:textId="7E49B40D" w:rsidR="001511F8" w:rsidRDefault="00000000">
      <w:pPr>
        <w:pStyle w:val="berschrift2"/>
      </w:pPr>
      <w:r>
        <w:t>Falsche Hosting-Aussage "n8n Cloud"</w:t>
      </w:r>
    </w:p>
    <w:p w14:paraId="54293A45" w14:textId="77777777" w:rsidR="001511F8" w:rsidRDefault="00000000">
      <w:r>
        <w:rPr>
          <w:b/>
          <w:bCs/>
          <w:color w:val="1F4E79"/>
        </w:rPr>
        <w:t xml:space="preserve">Absatz im Original: </w:t>
      </w:r>
      <w:r>
        <w:t>Absatz 202 (Kap. 8.2, "Geringe Infrastrukturkosten")</w:t>
      </w:r>
    </w:p>
    <w:p w14:paraId="4CAD3EEF" w14:textId="77777777" w:rsidR="001511F8" w:rsidRDefault="00000000">
      <w:r>
        <w:rPr>
          <w:b/>
          <w:bCs/>
          <w:color w:val="1F4E79"/>
        </w:rPr>
        <w:t>Aktueller Text:</w:t>
      </w:r>
    </w:p>
    <w:p w14:paraId="2D5436CF" w14:textId="77777777" w:rsidR="001511F8" w:rsidRDefault="00000000">
      <w:pPr>
        <w:pStyle w:val="IntensivesZitat"/>
      </w:pPr>
      <w:r>
        <w:t>„n8n Cloud, Supabase Free Tier und Pay-per-Token-LLM-Abrechnung ermöglichen einen kosteneffizienten Betrieb.“</w:t>
      </w:r>
    </w:p>
    <w:p w14:paraId="12C770D4" w14:textId="77777777" w:rsidR="001511F8" w:rsidRDefault="00000000">
      <w:r>
        <w:rPr>
          <w:b/>
          <w:bCs/>
          <w:color w:val="1F4E79"/>
        </w:rPr>
        <w:t>Vorschlag:</w:t>
      </w:r>
    </w:p>
    <w:p w14:paraId="08402F63" w14:textId="77777777" w:rsidR="001511F8" w:rsidRDefault="00000000">
      <w:r>
        <w:lastRenderedPageBreak/>
        <w:t>Lokal gehostetes n8n (Docker / npx), Supabase Free Tier und Pay-per-Token-LLM-Abrechnung ermöglichen einen kosteneffizienten Betrieb.</w:t>
      </w:r>
    </w:p>
    <w:p w14:paraId="0C7B9D05" w14:textId="7D438CC6" w:rsidR="00D11E59" w:rsidRDefault="00000000">
      <w:r>
        <w:rPr>
          <w:b/>
          <w:bCs/>
          <w:color w:val="1F4E79"/>
        </w:rPr>
        <w:t xml:space="preserve">Begründung: </w:t>
      </w:r>
      <w:r>
        <w:t>Der Workflow läuft im Prototyp lokal (vgl. Kap. 3.1 "Self-Hosted- als auch als Cloud-Lösung verfügbar"). "n8n Cloud" als Aussage widerspricht dem tatsächlichen Stand und der Demo-Konfiguration.</w:t>
      </w:r>
    </w:p>
    <w:p w14:paraId="2C7660C0" w14:textId="77777777" w:rsidR="001511F8" w:rsidRDefault="001511F8"/>
    <w:p w14:paraId="546A8296" w14:textId="4D04ED6A" w:rsidR="001511F8" w:rsidRDefault="00000000">
      <w:pPr>
        <w:pStyle w:val="berschrift2"/>
      </w:pPr>
      <w:r>
        <w:t>Inhaltsverzeichnis</w:t>
      </w:r>
    </w:p>
    <w:p w14:paraId="1520905B" w14:textId="77777777" w:rsidR="001511F8" w:rsidRDefault="00000000">
      <w:r>
        <w:rPr>
          <w:b/>
          <w:bCs/>
          <w:color w:val="1F4E79"/>
        </w:rPr>
        <w:t xml:space="preserve">Absatz im Original: </w:t>
      </w:r>
      <w:r>
        <w:t>Absatz 17 (vor Kap. 1)</w:t>
      </w:r>
    </w:p>
    <w:p w14:paraId="1D4EC110" w14:textId="77777777" w:rsidR="001511F8" w:rsidRDefault="00000000">
      <w:r>
        <w:rPr>
          <w:b/>
          <w:bCs/>
          <w:color w:val="1F4E79"/>
        </w:rPr>
        <w:t>Aktueller Text:</w:t>
      </w:r>
    </w:p>
    <w:p w14:paraId="715139A8" w14:textId="77777777" w:rsidR="001511F8" w:rsidRDefault="00000000">
      <w:pPr>
        <w:pStyle w:val="IntensivesZitat"/>
      </w:pPr>
      <w:r>
        <w:t>„Hier Inhaltsverzeichnis?“</w:t>
      </w:r>
    </w:p>
    <w:p w14:paraId="541DE0BC" w14:textId="77777777" w:rsidR="001511F8" w:rsidRDefault="00000000">
      <w:r>
        <w:rPr>
          <w:b/>
          <w:bCs/>
          <w:color w:val="1F4E79"/>
        </w:rPr>
        <w:t>Vorschlag:</w:t>
      </w:r>
    </w:p>
    <w:p w14:paraId="19436C22" w14:textId="77777777" w:rsidR="001511F8" w:rsidRDefault="00000000">
      <w:r>
        <w:t>Echtes Inhaltsverzeichnis einfügen (Word: Verweise → Inhaltsverzeichnis) oder ersatzlos streichen.</w:t>
      </w:r>
    </w:p>
    <w:p w14:paraId="1859AB01" w14:textId="1BD526AF" w:rsidR="001511F8" w:rsidRDefault="00000000">
      <w:pPr>
        <w:pStyle w:val="berschrift2"/>
      </w:pPr>
      <w:proofErr w:type="spellStart"/>
      <w:r>
        <w:t>Temperature</w:t>
      </w:r>
      <w:proofErr w:type="spellEnd"/>
      <w:r>
        <w:t>-Konfiguration fehlt komplett</w:t>
      </w:r>
    </w:p>
    <w:p w14:paraId="43020D72" w14:textId="77777777" w:rsidR="001511F8" w:rsidRDefault="00000000">
      <w:r>
        <w:rPr>
          <w:b/>
          <w:bCs/>
          <w:color w:val="1F4E79"/>
        </w:rPr>
        <w:t xml:space="preserve">Absatz im Original: </w:t>
      </w:r>
      <w:r>
        <w:t>Absatz 64 (Kap. 3.1, OpenAI) oder Kap. 4.3 (System-Prompt)</w:t>
      </w:r>
    </w:p>
    <w:p w14:paraId="40CA9E37" w14:textId="77777777" w:rsidR="001511F8" w:rsidRDefault="00000000">
      <w:r>
        <w:rPr>
          <w:b/>
          <w:bCs/>
          <w:color w:val="1F4E79"/>
        </w:rPr>
        <w:t>Aktueller Text:</w:t>
      </w:r>
    </w:p>
    <w:p w14:paraId="3824689E" w14:textId="77777777" w:rsidR="001511F8" w:rsidRDefault="00000000">
      <w:pPr>
        <w:pStyle w:val="IntensivesZitat"/>
      </w:pPr>
      <w:r>
        <w:t>„(keine Erwähnung der Sampling-Temperatur)“</w:t>
      </w:r>
    </w:p>
    <w:p w14:paraId="67CE378F" w14:textId="77777777" w:rsidR="001511F8" w:rsidRDefault="00000000">
      <w:r>
        <w:rPr>
          <w:b/>
          <w:bCs/>
          <w:color w:val="1F4E79"/>
        </w:rPr>
        <w:t>Vorschlag:</w:t>
      </w:r>
    </w:p>
    <w:p w14:paraId="6D3651B2" w14:textId="20AB90BD" w:rsidR="001511F8" w:rsidRDefault="00000000">
      <w:r>
        <w:t>Das Antwortverhalten ist auf Determinismus ausgelegt: Die Temperature wird über den restriktiven System-Prompt auf 0 erzwungen (greedy decoding, d.h. das Modell wählt stets das wahrscheinlichste nächste Token). Damit liefert dieselbe Frage stets dieselbe Antwort — essenziell für rechtsrelevante HR-Auskünfte. Für faktenorientierte RAG-Systeme empfiehlt die Literatur den Bereich T ∈ [0, 0.3]; höhere Werte (≥ 0.7) sind für kreative Aufgaben (Brainstorming, Storywriting) gedacht und wären für Fakten kontraindiziert.</w:t>
      </w:r>
      <w:r w:rsidR="00D11E59">
        <w:t xml:space="preserve"> Hier die Frage, wie machen </w:t>
      </w:r>
      <w:proofErr w:type="spellStart"/>
      <w:r w:rsidR="00D11E59">
        <w:t>wirs</w:t>
      </w:r>
      <w:proofErr w:type="spellEnd"/>
      <w:r w:rsidR="00D11E59">
        <w:t>, wie begründen wir es? Aktuell durch Systemprompt 0, wenn ich es richtig sehe, aber korrigiert mich gerne.</w:t>
      </w:r>
    </w:p>
    <w:p w14:paraId="57E91751" w14:textId="77777777" w:rsidR="001511F8" w:rsidRDefault="00000000">
      <w:r>
        <w:rPr>
          <w:b/>
          <w:bCs/>
          <w:color w:val="1F4E79"/>
        </w:rPr>
        <w:t xml:space="preserve">Begründung: </w:t>
      </w:r>
      <w:r>
        <w:t>Determinismus ist eine der zentralen Designentscheidungen gegen Halluzination. Dass das Thema in der Doku fehlt, ist eine klare Q&amp;A-Schwachstelle ("Welche Temperature nutzt ihr und warum?").</w:t>
      </w:r>
    </w:p>
    <w:p w14:paraId="24306FCB" w14:textId="77777777" w:rsidR="001511F8" w:rsidRDefault="00000000">
      <w:r>
        <w:rPr>
          <w:b/>
          <w:bCs/>
          <w:color w:val="1F4E79"/>
        </w:rPr>
        <w:lastRenderedPageBreak/>
        <w:t xml:space="preserve">Quelle(n): </w:t>
      </w:r>
      <w:r>
        <w:t>Holtzman, A., Buys, J., Du, L., Forbes, M., &amp; Choi, Y (2020); Gao, Y., Xiong, Y., Gao, X., Jia, K., Pan, J., Bi, Y., Dai, Y., Sun, J., Wang, M., &amp; Wang, H (2024); OpenAI (n.d.)</w:t>
      </w:r>
    </w:p>
    <w:p w14:paraId="713D91C4" w14:textId="77777777" w:rsidR="001511F8" w:rsidRDefault="001511F8"/>
    <w:p w14:paraId="620DEFEE" w14:textId="73925B8D" w:rsidR="001511F8" w:rsidRDefault="00000000">
      <w:pPr>
        <w:pStyle w:val="berschrift2"/>
      </w:pPr>
      <w:r>
        <w:t>HNSW-Index und EU-Region Frankfurt fehlen</w:t>
      </w:r>
    </w:p>
    <w:p w14:paraId="4BBA74AC" w14:textId="77777777" w:rsidR="001511F8" w:rsidRDefault="00000000">
      <w:r>
        <w:rPr>
          <w:b/>
          <w:bCs/>
          <w:color w:val="1F4E79"/>
        </w:rPr>
        <w:t xml:space="preserve">Absatz im Original: </w:t>
      </w:r>
      <w:r>
        <w:t>Absatz 62 (Kap. 3.1, Supabase)</w:t>
      </w:r>
    </w:p>
    <w:p w14:paraId="4B1AC3F3" w14:textId="77777777" w:rsidR="001511F8" w:rsidRDefault="00000000">
      <w:r>
        <w:rPr>
          <w:b/>
          <w:bCs/>
          <w:color w:val="1F4E79"/>
        </w:rPr>
        <w:t>Aktueller Text:</w:t>
      </w:r>
    </w:p>
    <w:p w14:paraId="5CDC1678" w14:textId="77777777" w:rsidR="001511F8" w:rsidRDefault="00000000">
      <w:pPr>
        <w:pStyle w:val="IntensivesZitat"/>
      </w:pPr>
      <w:r>
        <w:t>„(weder Indextyp noch Hosting-Region erwähnt)“</w:t>
      </w:r>
    </w:p>
    <w:p w14:paraId="0256E798" w14:textId="77777777" w:rsidR="001511F8" w:rsidRDefault="00000000">
      <w:r>
        <w:rPr>
          <w:b/>
          <w:bCs/>
          <w:color w:val="1F4E79"/>
        </w:rPr>
        <w:t>Vorschlag:</w:t>
      </w:r>
    </w:p>
    <w:p w14:paraId="5AFF5835" w14:textId="77777777" w:rsidR="001511F8" w:rsidRDefault="00000000">
      <w:r>
        <w:t>Ergänzen: "Die Datenbank ist in der EU-Region Frankfurt gehostet (Eu-Central, DSGVO-Konformität). Die Ähnlichkeitssuche nutzt einen HNSW-Index (Hierarchical Navigable Small World), der eine approximate-nearest-neighbor-Suche mit logarithmischer statt linearer Laufzeit ermöglicht."</w:t>
      </w:r>
    </w:p>
    <w:p w14:paraId="10E7C69F" w14:textId="27EB9A01" w:rsidR="001511F8" w:rsidRDefault="00000000">
      <w:r>
        <w:rPr>
          <w:b/>
          <w:bCs/>
          <w:color w:val="1F4E79"/>
        </w:rPr>
        <w:t xml:space="preserve">Begründung: </w:t>
      </w:r>
      <w:r>
        <w:t>Beide Punkte sind starke Argumente in der Compliance- und Skalierung</w:t>
      </w:r>
      <w:r w:rsidR="00D11E59">
        <w:t>srichtung.</w:t>
      </w:r>
    </w:p>
    <w:p w14:paraId="26BB7251" w14:textId="77777777" w:rsidR="001511F8" w:rsidRDefault="00000000">
      <w:r>
        <w:rPr>
          <w:b/>
          <w:bCs/>
          <w:color w:val="1F4E79"/>
        </w:rPr>
        <w:t xml:space="preserve">Quelle(n): </w:t>
      </w:r>
      <w:r>
        <w:t>Malkov, Y. A., &amp; Yashunin, D. A (2020); pgvector (2024); Supabase (2024)</w:t>
      </w:r>
    </w:p>
    <w:p w14:paraId="001D5BE1" w14:textId="77777777" w:rsidR="001511F8" w:rsidRDefault="001511F8"/>
    <w:p w14:paraId="015A8109" w14:textId="3D07C0C5" w:rsidR="001511F8" w:rsidRDefault="00000000">
      <w:pPr>
        <w:pStyle w:val="berschrift2"/>
      </w:pPr>
      <w:r>
        <w:t>Row-Level-Security fehlt</w:t>
      </w:r>
    </w:p>
    <w:p w14:paraId="0814F5E4" w14:textId="77777777" w:rsidR="001511F8" w:rsidRDefault="00000000">
      <w:r>
        <w:rPr>
          <w:b/>
          <w:bCs/>
          <w:color w:val="1F4E79"/>
        </w:rPr>
        <w:t xml:space="preserve">Absatz im Original: </w:t>
      </w:r>
      <w:r>
        <w:t>Absatz 62 (Kap. 3.1, Supabase)</w:t>
      </w:r>
    </w:p>
    <w:p w14:paraId="2729CF7C" w14:textId="77777777" w:rsidR="001511F8" w:rsidRDefault="00000000">
      <w:r>
        <w:rPr>
          <w:b/>
          <w:bCs/>
          <w:color w:val="1F4E79"/>
        </w:rPr>
        <w:t>Aktueller Text:</w:t>
      </w:r>
    </w:p>
    <w:p w14:paraId="0A0981D2" w14:textId="77777777" w:rsidR="001511F8" w:rsidRDefault="00000000">
      <w:pPr>
        <w:pStyle w:val="IntensivesZitat"/>
      </w:pPr>
      <w:r>
        <w:t>„(keine Erwähnung der Zugriffsbeschränkung auf DB-Ebene)“</w:t>
      </w:r>
    </w:p>
    <w:p w14:paraId="29C60A7D" w14:textId="77777777" w:rsidR="001511F8" w:rsidRDefault="00000000">
      <w:r>
        <w:rPr>
          <w:b/>
          <w:bCs/>
          <w:color w:val="1F4E79"/>
        </w:rPr>
        <w:t>Vorschlag:</w:t>
      </w:r>
    </w:p>
    <w:p w14:paraId="2D8D35E7" w14:textId="77777777" w:rsidR="001511F8" w:rsidRDefault="00000000">
      <w:r>
        <w:t>Ergänzen: "Zugriff auf die Tabelle documents ist über Postgres Row-Level-Security (RLS) auf den service_role-Schlüssel beschränkt; der öffentliche anon-Schlüssel hat keinen Zugriff. Ohne RLS wäre die Tabelle für jeden mit der Projekt-URL lesbar."</w:t>
      </w:r>
    </w:p>
    <w:p w14:paraId="1D59A641" w14:textId="77777777" w:rsidR="001511F8" w:rsidRDefault="00000000">
      <w:r>
        <w:rPr>
          <w:b/>
          <w:bCs/>
          <w:color w:val="1F4E79"/>
        </w:rPr>
        <w:t xml:space="preserve">Begründung: </w:t>
      </w:r>
      <w:r>
        <w:t>RLS ist die wichtigste Sicherheitsmaßnahme im Supabase-Setup. Ihre Erwähnung dokumentiert proaktive Sicherheit.</w:t>
      </w:r>
    </w:p>
    <w:p w14:paraId="2A6644D3" w14:textId="77777777" w:rsidR="001511F8" w:rsidRDefault="001511F8"/>
    <w:p w14:paraId="306B1258" w14:textId="1E052100" w:rsidR="001511F8" w:rsidRDefault="00000000">
      <w:pPr>
        <w:pStyle w:val="berschrift2"/>
      </w:pPr>
      <w:r>
        <w:lastRenderedPageBreak/>
        <w:t>Default Data Loader (Type=Binary, Format=Text) fehlt</w:t>
      </w:r>
    </w:p>
    <w:p w14:paraId="16AB7C95" w14:textId="77777777" w:rsidR="001511F8" w:rsidRDefault="00000000">
      <w:r>
        <w:rPr>
          <w:b/>
          <w:bCs/>
          <w:color w:val="1F4E79"/>
        </w:rPr>
        <w:t xml:space="preserve">Absatz im Original: </w:t>
      </w:r>
      <w:r>
        <w:t>Absatz 75/76 (Kap. 4.1, Schritt 3/4)</w:t>
      </w:r>
    </w:p>
    <w:p w14:paraId="4BD725F6" w14:textId="77777777" w:rsidR="001511F8" w:rsidRDefault="00000000">
      <w:r>
        <w:rPr>
          <w:b/>
          <w:bCs/>
          <w:color w:val="1F4E79"/>
        </w:rPr>
        <w:t>Aktueller Text:</w:t>
      </w:r>
    </w:p>
    <w:p w14:paraId="17D8334C" w14:textId="77777777" w:rsidR="001511F8" w:rsidRDefault="00000000">
      <w:pPr>
        <w:pStyle w:val="IntensivesZitat"/>
      </w:pPr>
      <w:r>
        <w:t>„(zwischen Chunking und Embedding wird der Data Loader übersprungen)“</w:t>
      </w:r>
    </w:p>
    <w:p w14:paraId="5C34B7C9" w14:textId="77777777" w:rsidR="001511F8" w:rsidRDefault="00000000">
      <w:r>
        <w:rPr>
          <w:b/>
          <w:bCs/>
          <w:color w:val="1F4E79"/>
        </w:rPr>
        <w:t>Vorschlag:</w:t>
      </w:r>
    </w:p>
    <w:p w14:paraId="6D7B774E" w14:textId="619CBD91" w:rsidR="001511F8" w:rsidRDefault="00000000">
      <w:r>
        <w:t>Zwischen Schritt 3 (Chunking) und Schritt 4 (Embedding) als eigenen Schritt einfügen oder als Anmerkung: "Der Default Data Loader liest die Dateien als Binary mit Text-Format. Diese Konfiguration ist essenziell: ein abweichender Modus (z.B. JSON) würde die Datei-Metadaten statt des Inhalts vektorisieren</w:t>
      </w:r>
      <w:r w:rsidR="00D11E59">
        <w:t xml:space="preserve">. (Das ist </w:t>
      </w:r>
      <w:r>
        <w:t>ein Fehler, der zunächst auftrat und in Kap. 8.3 reflektiert ist</w:t>
      </w:r>
      <w:r w:rsidR="00D11E59">
        <w:t xml:space="preserve"> – demnach sollte es hier Erwähnung finden).</w:t>
      </w:r>
    </w:p>
    <w:p w14:paraId="349CCAA5" w14:textId="0A602052" w:rsidR="001511F8" w:rsidRDefault="00000000">
      <w:r>
        <w:rPr>
          <w:b/>
          <w:bCs/>
          <w:color w:val="1F4E79"/>
        </w:rPr>
        <w:t xml:space="preserve">Begründung: </w:t>
      </w:r>
      <w:r>
        <w:t xml:space="preserve">Der Data-Loader-Bug ist die wichtigste technische Lerngeschichte des Projekts. </w:t>
      </w:r>
      <w:r w:rsidR="00D11E59">
        <w:t xml:space="preserve">Für uns genial zur Überbrückung </w:t>
      </w:r>
      <w:r>
        <w:t>zwischen Architektur (Kap. 4) und Reflexion (Kap. 8.3).</w:t>
      </w:r>
    </w:p>
    <w:p w14:paraId="483673F5" w14:textId="77777777" w:rsidR="001511F8" w:rsidRDefault="001511F8"/>
    <w:p w14:paraId="6C0B5884" w14:textId="4C6C7529" w:rsidR="001511F8" w:rsidRDefault="00000000">
      <w:pPr>
        <w:pStyle w:val="berschrift2"/>
      </w:pPr>
      <w:r>
        <w:t>System-Prompt-Auszug abgeschnitten (VERBOTEN-Block fehlt)</w:t>
      </w:r>
    </w:p>
    <w:p w14:paraId="0A4FA9FB" w14:textId="77777777" w:rsidR="001511F8" w:rsidRDefault="00000000">
      <w:r>
        <w:rPr>
          <w:b/>
          <w:bCs/>
          <w:color w:val="1F4E79"/>
        </w:rPr>
        <w:t xml:space="preserve">Absatz im Original: </w:t>
      </w:r>
      <w:r>
        <w:t>Absätze 87–100 (Kap. 4.3)</w:t>
      </w:r>
    </w:p>
    <w:p w14:paraId="2D38B68F" w14:textId="77777777" w:rsidR="001511F8" w:rsidRDefault="00000000">
      <w:r>
        <w:rPr>
          <w:b/>
          <w:bCs/>
          <w:color w:val="1F4E79"/>
        </w:rPr>
        <w:t>Aktueller Text:</w:t>
      </w:r>
    </w:p>
    <w:p w14:paraId="73C06483" w14:textId="77777777" w:rsidR="001511F8" w:rsidRDefault="00000000">
      <w:pPr>
        <w:pStyle w:val="IntensivesZitat"/>
      </w:pPr>
      <w:r>
        <w:t>„Nur Arbeitsweise und Antwortteil sind zitiert.“</w:t>
      </w:r>
    </w:p>
    <w:p w14:paraId="36DCEA41" w14:textId="77777777" w:rsidR="001511F8" w:rsidRDefault="00000000">
      <w:r>
        <w:rPr>
          <w:b/>
          <w:bCs/>
          <w:color w:val="1F4E79"/>
        </w:rPr>
        <w:t>Vorschlag:</w:t>
      </w:r>
    </w:p>
    <w:p w14:paraId="54139268" w14:textId="77777777" w:rsidR="001511F8" w:rsidRDefault="00000000">
      <w:r>
        <w:t>Den dritten Block des tatsächlich verwendeten Prompts ergänzen: "Verboten: — Allgemeine Firmenregel-Listen oder Vorlagen erstellen. — Auf gesetzliche Mindeststandards ausweichen. — Antworten ohne vorherigen Tool-Aufruf."</w:t>
      </w:r>
    </w:p>
    <w:p w14:paraId="0DE494F9" w14:textId="77777777" w:rsidR="001511F8" w:rsidRDefault="00000000">
      <w:r>
        <w:rPr>
          <w:b/>
          <w:bCs/>
          <w:color w:val="1F4E79"/>
        </w:rPr>
        <w:t xml:space="preserve">Begründung: </w:t>
      </w:r>
      <w:r>
        <w:t>Der VERBOTEN-Block ist die schärfste Härtung gegen Halluzination und Off-topic-Antworten. Ihn auszulassen schwächt die Aussage über Halluzinationsschutz.</w:t>
      </w:r>
    </w:p>
    <w:p w14:paraId="1533CB3C" w14:textId="77777777" w:rsidR="001511F8" w:rsidRDefault="00000000">
      <w:r>
        <w:rPr>
          <w:b/>
          <w:bCs/>
          <w:color w:val="1F4E79"/>
        </w:rPr>
        <w:t xml:space="preserve">Quelle(n): </w:t>
      </w:r>
      <w:r>
        <w:t>Brown, T. B., Mann, B., Ryder, N., Subbiah, M., Kaplan, J., Dhariwal, P., Neelakantan, A., Shyam, P., Sastry, G., Askell, A., Agarwal, S., Herbert-Voss, A., Krueger, G., Henighan, T., Child, R., Ramesh, A., Ziegler, D. M., Wu, J., Winter, C., … Amodei, D (2020); Wei, J., Wang, X., Schuurmans, D., Bosma, M., Ichter, B., Xia, F., Chi, E. H., Le, Q. V., &amp; Zhou, D (2022)</w:t>
      </w:r>
    </w:p>
    <w:p w14:paraId="7F0867CD" w14:textId="77777777" w:rsidR="001511F8" w:rsidRDefault="001511F8"/>
    <w:p w14:paraId="00832DB8" w14:textId="176403B5" w:rsidR="001511F8" w:rsidRDefault="00000000">
      <w:pPr>
        <w:pStyle w:val="berschrift2"/>
      </w:pPr>
      <w:r>
        <w:t>Risikotabelle: Embedding-Konsistenz und Prompt-</w:t>
      </w:r>
      <w:proofErr w:type="spellStart"/>
      <w:r>
        <w:t>Injection</w:t>
      </w:r>
      <w:proofErr w:type="spellEnd"/>
      <w:r>
        <w:t xml:space="preserve"> fehlen</w:t>
      </w:r>
    </w:p>
    <w:p w14:paraId="437DA444" w14:textId="77777777" w:rsidR="001511F8" w:rsidRDefault="00000000">
      <w:r>
        <w:rPr>
          <w:b/>
          <w:bCs/>
          <w:color w:val="1F4E79"/>
        </w:rPr>
        <w:t xml:space="preserve">Absatz im Original: </w:t>
      </w:r>
      <w:r>
        <w:t>Absätze 128–149 (Kap. 6, Risikotabelle)</w:t>
      </w:r>
    </w:p>
    <w:p w14:paraId="461395ED" w14:textId="77777777" w:rsidR="001511F8" w:rsidRDefault="00000000">
      <w:r>
        <w:rPr>
          <w:b/>
          <w:bCs/>
          <w:color w:val="1F4E79"/>
        </w:rPr>
        <w:t>Aktueller Text:</w:t>
      </w:r>
    </w:p>
    <w:p w14:paraId="786B8680" w14:textId="77777777" w:rsidR="001511F8" w:rsidRDefault="00000000">
      <w:pPr>
        <w:pStyle w:val="IntensivesZitat"/>
      </w:pPr>
      <w:r>
        <w:t>„(sechs Risiken aufgeführt, ohne diese zwei)“</w:t>
      </w:r>
    </w:p>
    <w:p w14:paraId="5013E1CC" w14:textId="77777777" w:rsidR="001511F8" w:rsidRDefault="00000000">
      <w:r>
        <w:rPr>
          <w:b/>
          <w:bCs/>
          <w:color w:val="1F4E79"/>
        </w:rPr>
        <w:t>Vorschlag:</w:t>
      </w:r>
    </w:p>
    <w:p w14:paraId="25CA2E58" w14:textId="77777777" w:rsidR="001511F8" w:rsidRDefault="00000000">
      <w:r>
        <w:t>Zwei zusätzliche Zeilen einfügen: (1) Risiko "Embedding-Modell-Inkonsistenz zwischen Ingestion und Abfrage" — Schweregrad: hoch — Maßnahme: Modell explizit im Workflow gesetzt, nicht auf Provider-Defaults verlassen. (2) Risiko "Prompt-Injection durch Nutzereingabe" — Schweregrad: mittel — Maßnahme: gehärteter System-Prompt mit VERBOTEN-Block; Ausgabe nur Text, keine auslösenden Aktionen.</w:t>
      </w:r>
    </w:p>
    <w:p w14:paraId="5860BAA3" w14:textId="77777777" w:rsidR="001511F8" w:rsidRDefault="00000000">
      <w:r>
        <w:rPr>
          <w:b/>
          <w:bCs/>
          <w:color w:val="1F4E79"/>
        </w:rPr>
        <w:t xml:space="preserve">Begründung: </w:t>
      </w:r>
      <w:r>
        <w:t>Beide Risiken sind erlebt (Embedding-Default-Bug) bzw. naheliegend (Injection). Ihre Auflistung zeigt Risiko-Bewusstsein.</w:t>
      </w:r>
    </w:p>
    <w:p w14:paraId="11E4E2CC" w14:textId="77777777" w:rsidR="001511F8" w:rsidRDefault="00000000">
      <w:r>
        <w:rPr>
          <w:b/>
          <w:bCs/>
          <w:color w:val="1F4E79"/>
        </w:rPr>
        <w:t xml:space="preserve">Quelle(n): </w:t>
      </w:r>
      <w:r>
        <w:t>Ji, Z., Lee, N., Frieske, R., Yu, T., Su, D., Xu, Y., Ishii, E., Bang, Y. J., Madotto, A., &amp; Fung, P (2023)</w:t>
      </w:r>
    </w:p>
    <w:p w14:paraId="14DD6EF3" w14:textId="77777777" w:rsidR="001511F8" w:rsidRDefault="001511F8"/>
    <w:p w14:paraId="0DF614A8" w14:textId="333FE78E" w:rsidR="001511F8" w:rsidRDefault="00000000">
      <w:pPr>
        <w:pStyle w:val="berschrift2"/>
      </w:pPr>
      <w:r>
        <w:t>Compliance-Maßnahmen vermischen Umsetzung und Empfehlung</w:t>
      </w:r>
    </w:p>
    <w:p w14:paraId="3483233C" w14:textId="77777777" w:rsidR="001511F8" w:rsidRDefault="00000000">
      <w:r>
        <w:rPr>
          <w:b/>
          <w:bCs/>
          <w:color w:val="1F4E79"/>
        </w:rPr>
        <w:t xml:space="preserve">Absatz im Original: </w:t>
      </w:r>
      <w:r>
        <w:t>Absätze 174–183 (Kap. 7.2)</w:t>
      </w:r>
    </w:p>
    <w:p w14:paraId="25EB8319" w14:textId="77777777" w:rsidR="001511F8" w:rsidRDefault="00000000">
      <w:r>
        <w:rPr>
          <w:b/>
          <w:bCs/>
          <w:color w:val="1F4E79"/>
        </w:rPr>
        <w:t>Aktueller Text:</w:t>
      </w:r>
    </w:p>
    <w:p w14:paraId="571128CD" w14:textId="77777777" w:rsidR="001511F8" w:rsidRDefault="00000000">
      <w:pPr>
        <w:pStyle w:val="IntensivesZitat"/>
      </w:pPr>
      <w:r>
        <w:t>„"Durchführung von Schulungen für alle 450 Mitarbeiter zur sicheren … Nutzung" wirkt, als hätten wir das umgesetzt.“</w:t>
      </w:r>
    </w:p>
    <w:p w14:paraId="48572EB1" w14:textId="77777777" w:rsidR="001511F8" w:rsidRDefault="00000000">
      <w:r>
        <w:rPr>
          <w:b/>
          <w:bCs/>
          <w:color w:val="1F4E79"/>
        </w:rPr>
        <w:t>Vorschlag:</w:t>
      </w:r>
    </w:p>
    <w:p w14:paraId="53A71D8F" w14:textId="1C87CC69" w:rsidR="001511F8" w:rsidRDefault="00000000">
      <w:r>
        <w:t xml:space="preserve">Klare Trennung in zwei Listen: (a) "Im Prototyp technisch umgesetzt" — z.B. System-Prompt-Selbstidentifikation, Quellenangabe, Fallback-Pfad, RLS, EU-Region. (b) "Empfehlung an den Deployer </w:t>
      </w:r>
      <w:proofErr w:type="spellStart"/>
      <w:r>
        <w:t>BergTech</w:t>
      </w:r>
      <w:proofErr w:type="spellEnd"/>
      <w:r>
        <w:t xml:space="preserve"> vor produktivem Rollout"</w:t>
      </w:r>
      <w:r w:rsidR="00666981">
        <w:t xml:space="preserve"> (Quasi die </w:t>
      </w:r>
      <w:proofErr w:type="spellStart"/>
      <w:r w:rsidR="00666981">
        <w:t>Limitations</w:t>
      </w:r>
      <w:proofErr w:type="spellEnd"/>
      <w:r w:rsidR="00666981">
        <w:t xml:space="preserve"> unseres aktuellen Modelles bzw. der Möglichkeiten, die wir haben)</w:t>
      </w:r>
      <w:r>
        <w:t xml:space="preserve"> — z.B. AI-Literacy-Schulung der 450 Mitarbeitenden gemäß Art. 4, sichtbares KI-Banner, quartalsweise Policy-Audits, Audit-Log.</w:t>
      </w:r>
    </w:p>
    <w:p w14:paraId="37EBCE61" w14:textId="77777777" w:rsidR="001511F8" w:rsidRDefault="001511F8"/>
    <w:p w14:paraId="6C59279E" w14:textId="335DC028" w:rsidR="001511F8" w:rsidRDefault="00666981">
      <w:pPr>
        <w:pStyle w:val="berschrift2"/>
      </w:pPr>
      <w:r>
        <w:lastRenderedPageBreak/>
        <w:t>Ausblick</w:t>
      </w:r>
    </w:p>
    <w:p w14:paraId="3351C412" w14:textId="77777777" w:rsidR="001511F8" w:rsidRDefault="00000000">
      <w:r>
        <w:rPr>
          <w:b/>
          <w:bCs/>
          <w:color w:val="1F4E79"/>
        </w:rPr>
        <w:t xml:space="preserve">Absatz im Original: </w:t>
      </w:r>
      <w:r>
        <w:t>Absätze 212–217 (Kap. 8.4)</w:t>
      </w:r>
    </w:p>
    <w:p w14:paraId="62DBC120" w14:textId="77777777" w:rsidR="001511F8" w:rsidRDefault="00000000">
      <w:r>
        <w:rPr>
          <w:b/>
          <w:bCs/>
          <w:color w:val="1F4E79"/>
        </w:rPr>
        <w:t>Aktueller Text:</w:t>
      </w:r>
    </w:p>
    <w:p w14:paraId="238CD99E" w14:textId="77777777" w:rsidR="001511F8" w:rsidRDefault="00000000">
      <w:pPr>
        <w:pStyle w:val="IntensivesZitat"/>
      </w:pPr>
      <w:r>
        <w:t>„Fünf eher allgemeine Items: Conversation Memory, Feedback, SAP HR, Mehrsprachigkeit, Evaluation.“</w:t>
      </w:r>
    </w:p>
    <w:p w14:paraId="6D8558F0" w14:textId="77777777" w:rsidR="001511F8" w:rsidRDefault="00000000">
      <w:r>
        <w:rPr>
          <w:b/>
          <w:bCs/>
          <w:color w:val="1F4E79"/>
        </w:rPr>
        <w:t>Vorschlag:</w:t>
      </w:r>
    </w:p>
    <w:p w14:paraId="2FB1E786" w14:textId="39456F2D" w:rsidR="001511F8" w:rsidRDefault="00000000">
      <w:r>
        <w:t>Strukturieren in vier priorisierte Cluster: (1) Retrieval-Qualität — Hybrid Retrieval (Vektor + BM25), Cross-Encoder-Re-Ranking, adaptive top-k. (2) Evaluation — RAGAS-Integration (Faithfulness, Answer Relevancy, Context Precision), Goldfragen-Suite, Drift-Detection. (3) Operations — automatisierter Re-Ingest bei Doc-Änderung, Upsert statt Truncate-and-Insert, Versionsmetadaten. (4) Compliance — revisionssichere Audit-Logs, Feedback-Pfad gem. Art. 50 Abs. 5, granulare RLS pro Dokument.</w:t>
      </w:r>
      <w:r w:rsidR="00666981">
        <w:t xml:space="preserve"> </w:t>
      </w:r>
    </w:p>
    <w:p w14:paraId="570BCEBA" w14:textId="62B57F14" w:rsidR="001511F8" w:rsidRDefault="00000000">
      <w:r>
        <w:rPr>
          <w:b/>
          <w:bCs/>
          <w:color w:val="1F4E79"/>
        </w:rPr>
        <w:t xml:space="preserve">Begründung: </w:t>
      </w:r>
      <w:r w:rsidR="00666981">
        <w:t xml:space="preserve">Denke wir sollten uns etwas „technisches“ dazuholen, denn Mehrsprachigkeit ist bei einem Unternehmen mit Sitz irgendwo in BW nicht ganz relevant und </w:t>
      </w:r>
      <w:proofErr w:type="spellStart"/>
      <w:r w:rsidR="00666981">
        <w:t>Conversation</w:t>
      </w:r>
      <w:proofErr w:type="spellEnd"/>
      <w:r w:rsidR="00666981">
        <w:t xml:space="preserve"> Memory bei RAG nicht wichtig. Daher etwas relevanteres, technisches oder </w:t>
      </w:r>
      <w:proofErr w:type="spellStart"/>
      <w:r w:rsidR="00666981">
        <w:t>oder</w:t>
      </w:r>
      <w:proofErr w:type="spellEnd"/>
      <w:r w:rsidR="00666981">
        <w:t xml:space="preserve"> </w:t>
      </w:r>
      <w:proofErr w:type="spellStart"/>
      <w:r w:rsidR="00666981">
        <w:t>oder</w:t>
      </w:r>
      <w:proofErr w:type="spellEnd"/>
      <w:r w:rsidR="00666981">
        <w:t>… Relativ kleines Unternehmen für SAP (450 Mitarbeiter)</w:t>
      </w:r>
    </w:p>
    <w:p w14:paraId="7B06A79C" w14:textId="77777777" w:rsidR="001511F8" w:rsidRDefault="00000000">
      <w:r>
        <w:rPr>
          <w:b/>
          <w:bCs/>
          <w:color w:val="1F4E79"/>
        </w:rPr>
        <w:t xml:space="preserve">Quelle(n): </w:t>
      </w:r>
      <w:r>
        <w:t>Gao, Y., Xiong, Y., Gao, X., Jia, K., Pan, J., Bi, Y., Dai, Y., Sun, J., Wang, M., &amp; Wang, H (2024); Ji, Z., Lee, N., Frieske, R., Yu, T., Su, D., Xu, Y., Ishii, E., Bang, Y. J., Madotto, A., &amp; Fung, P (2023); European Parliament and Council of the European Union (2024)</w:t>
      </w:r>
    </w:p>
    <w:p w14:paraId="748717A4" w14:textId="77777777" w:rsidR="001511F8" w:rsidRDefault="001511F8"/>
    <w:p w14:paraId="7DA2D4DA" w14:textId="207EA479" w:rsidR="001511F8" w:rsidRDefault="00666981">
      <w:pPr>
        <w:pStyle w:val="berschrift2"/>
      </w:pPr>
      <w:r>
        <w:t xml:space="preserve">Same </w:t>
      </w:r>
      <w:proofErr w:type="spellStart"/>
      <w:r>
        <w:t>Same</w:t>
      </w:r>
      <w:proofErr w:type="spellEnd"/>
      <w:r>
        <w:t xml:space="preserve"> Quellengebundenheit</w:t>
      </w:r>
    </w:p>
    <w:p w14:paraId="6ACCAD26" w14:textId="77777777" w:rsidR="001511F8" w:rsidRDefault="00000000">
      <w:r>
        <w:rPr>
          <w:b/>
          <w:bCs/>
          <w:color w:val="1F4E79"/>
        </w:rPr>
        <w:t xml:space="preserve">Absatz im Original: </w:t>
      </w:r>
      <w:r>
        <w:t>Absätze 198 und 200 (Kap. 8.2)</w:t>
      </w:r>
    </w:p>
    <w:p w14:paraId="491B71AE" w14:textId="77777777" w:rsidR="001511F8" w:rsidRDefault="00000000">
      <w:r>
        <w:rPr>
          <w:b/>
          <w:bCs/>
          <w:color w:val="1F4E79"/>
        </w:rPr>
        <w:t>Aktueller Text:</w:t>
      </w:r>
    </w:p>
    <w:p w14:paraId="3CE50930" w14:textId="77777777" w:rsidR="001511F8" w:rsidRDefault="00000000">
      <w:pPr>
        <w:pStyle w:val="IntensivesZitat"/>
      </w:pPr>
      <w:r>
        <w:t>„"Quellengebundenheit" und "Verifizierte Quellenbindung" sind inhaltlich der gleiche Punkt.“</w:t>
      </w:r>
    </w:p>
    <w:p w14:paraId="399E3C45" w14:textId="77777777" w:rsidR="001511F8" w:rsidRDefault="00000000">
      <w:r>
        <w:rPr>
          <w:b/>
          <w:bCs/>
          <w:color w:val="1F4E79"/>
        </w:rPr>
        <w:t>Vorschlag:</w:t>
      </w:r>
    </w:p>
    <w:p w14:paraId="32E99ED9" w14:textId="35786F6E" w:rsidR="001511F8" w:rsidRDefault="00000000">
      <w:r>
        <w:t xml:space="preserve">Zu einem Punkt zusammenfassen und konkretisieren: "Quellengebundene, verifizierte Antworten: In den drei End-to-End-Tests am 30.05.2026 lieferte der Chatbot zu allen drei </w:t>
      </w:r>
      <w:r>
        <w:lastRenderedPageBreak/>
        <w:t>Demo-Fragen Antworten ausschließlich aus den hinterlegten Dokumenten mit korrekter Quellenangabe."</w:t>
      </w:r>
    </w:p>
    <w:p w14:paraId="02085F49" w14:textId="77777777" w:rsidR="00666981" w:rsidRDefault="00666981"/>
    <w:p w14:paraId="477FCA24" w14:textId="7B1C24FE" w:rsidR="001511F8" w:rsidRDefault="00000000">
      <w:pPr>
        <w:pStyle w:val="berschrift2"/>
      </w:pPr>
      <w:r>
        <w:t>LLM-Switch-Erzählung zu vage</w:t>
      </w:r>
    </w:p>
    <w:p w14:paraId="0C7AA2B8" w14:textId="77777777" w:rsidR="001511F8" w:rsidRDefault="00000000">
      <w:r>
        <w:rPr>
          <w:b/>
          <w:bCs/>
          <w:color w:val="1F4E79"/>
        </w:rPr>
        <w:t xml:space="preserve">Absatz im Original: </w:t>
      </w:r>
      <w:r>
        <w:t>Absatz 199 (Kap. 8.2)</w:t>
      </w:r>
    </w:p>
    <w:p w14:paraId="57C125F0" w14:textId="77777777" w:rsidR="001511F8" w:rsidRDefault="00000000">
      <w:r>
        <w:rPr>
          <w:b/>
          <w:bCs/>
          <w:color w:val="1F4E79"/>
        </w:rPr>
        <w:t>Aktueller Text:</w:t>
      </w:r>
    </w:p>
    <w:p w14:paraId="27D951C3" w14:textId="77777777" w:rsidR="001511F8" w:rsidRDefault="00000000">
      <w:pPr>
        <w:pStyle w:val="IntensivesZitat"/>
      </w:pPr>
      <w:r>
        <w:t>„"Als das ursprünglich geplante Chat-Modell nicht mehr verfügbar war, wurde konsequent auf einen einzigen Anbieter (OpenAI) umgestellt."“</w:t>
      </w:r>
    </w:p>
    <w:p w14:paraId="57227D0E" w14:textId="77777777" w:rsidR="001511F8" w:rsidRDefault="00000000">
      <w:r>
        <w:rPr>
          <w:b/>
          <w:bCs/>
          <w:color w:val="1F4E79"/>
        </w:rPr>
        <w:t>Vorschlag:</w:t>
      </w:r>
    </w:p>
    <w:p w14:paraId="61246C68" w14:textId="77777777" w:rsidR="001511F8" w:rsidRDefault="00000000">
      <w:r>
        <w:t>Konkretisieren: "Während des End-to-End-Tests am 30.05.2026 antwortete das ursprünglich geplante Anthropic-Chatmodell mit HTTP 404 (Modell-Retirement). Da der gewählte OpenAI Functions Agent zudem strukturell ein OpenAI-Chatmodell voraussetzt, wurde auf gpt-5-mini konsolidiert. Vorteil: ein Provider → weniger Integrations-Blocker; Nachteil: Single-Point-of-Failure, der in einer Produktivversion durch ein Provider-Abstraktionslayer (z.B. LiteLLM) zu adressieren wäre."</w:t>
      </w:r>
    </w:p>
    <w:p w14:paraId="4D5FC851" w14:textId="21FB58A1" w:rsidR="001511F8" w:rsidRDefault="00000000">
      <w:r>
        <w:rPr>
          <w:b/>
          <w:bCs/>
          <w:color w:val="1F4E79"/>
        </w:rPr>
        <w:t xml:space="preserve">Begründung: </w:t>
      </w:r>
      <w:r>
        <w:t>Trade-off-Diskussion zeigen Umgang mit der Architekturentscheidung.</w:t>
      </w:r>
    </w:p>
    <w:p w14:paraId="6E94B2E6" w14:textId="77777777" w:rsidR="001511F8" w:rsidRDefault="001511F8"/>
    <w:p w14:paraId="6E58CB5D" w14:textId="01C4314B" w:rsidR="001511F8" w:rsidRDefault="00000000">
      <w:pPr>
        <w:pStyle w:val="berschrift2"/>
      </w:pPr>
      <w:r>
        <w:t>Quellen für die wichtigsten Designentscheidungen</w:t>
      </w:r>
    </w:p>
    <w:p w14:paraId="5F7E9AD5" w14:textId="74AFD021" w:rsidR="001511F8" w:rsidRDefault="00000000">
      <w:r>
        <w:t>Die folgenden Quellen sollten an den jeweiligen Stellen im Original eingebaut werden (Format APA 7). Vollständige Einträge im Quellenverzeichnis am Ende dieses Dokuments.</w:t>
      </w:r>
      <w:r w:rsidR="0000329E">
        <w:t xml:space="preserve"> Wir müssen nicht alle nutzen, aber Quellennutzung zeichnet akademisches Arbeiten aus. Irgendwie sind wir </w:t>
      </w:r>
      <w:proofErr w:type="gramStart"/>
      <w:r w:rsidR="0000329E">
        <w:t>ja auf</w:t>
      </w:r>
      <w:proofErr w:type="gramEnd"/>
      <w:r w:rsidR="0000329E">
        <w:t xml:space="preserve"> die Idee gekommen, diesen Weg zu gehen – wir müssen aufzeigen, wie.</w:t>
      </w:r>
    </w:p>
    <w:p w14:paraId="1706B486" w14:textId="5EA3B807" w:rsidR="001511F8" w:rsidRDefault="00000000">
      <w:pPr>
        <w:pStyle w:val="berschrift2"/>
      </w:pPr>
      <w:r>
        <w:t>RAG als Grundkonzept</w:t>
      </w:r>
    </w:p>
    <w:p w14:paraId="774835AB" w14:textId="77777777" w:rsidR="001511F8" w:rsidRDefault="00000000">
      <w:r>
        <w:rPr>
          <w:b/>
          <w:bCs/>
          <w:color w:val="1F4E79"/>
        </w:rPr>
        <w:t xml:space="preserve">Absatz im Original: </w:t>
      </w:r>
      <w:r>
        <w:t>Absatz 28 und 57</w:t>
      </w:r>
    </w:p>
    <w:p w14:paraId="283FDBC8" w14:textId="77777777" w:rsidR="001511F8" w:rsidRDefault="00000000">
      <w:r>
        <w:rPr>
          <w:b/>
          <w:bCs/>
          <w:color w:val="1F4E79"/>
        </w:rPr>
        <w:t>Aktueller Text:</w:t>
      </w:r>
    </w:p>
    <w:p w14:paraId="34DF4878" w14:textId="77777777" w:rsidR="001511F8" w:rsidRDefault="00000000">
      <w:pPr>
        <w:pStyle w:val="IntensivesZitat"/>
      </w:pPr>
      <w:r>
        <w:t>„Bezug auf RAG ohne Quellenangabe“</w:t>
      </w:r>
    </w:p>
    <w:p w14:paraId="74EC0200" w14:textId="77777777" w:rsidR="001511F8" w:rsidRDefault="00000000">
      <w:r>
        <w:rPr>
          <w:b/>
          <w:bCs/>
          <w:color w:val="1F4E79"/>
        </w:rPr>
        <w:t>Vorschlag:</w:t>
      </w:r>
    </w:p>
    <w:p w14:paraId="1D15B51C" w14:textId="77777777" w:rsidR="001511F8" w:rsidRDefault="00000000">
      <w:r>
        <w:t>Inline-Zitat ergänzen: "… Retrieval-Augmented Generation (RAG; Lewis et al., 2020)…"</w:t>
      </w:r>
    </w:p>
    <w:p w14:paraId="64D1B76E" w14:textId="77777777" w:rsidR="001511F8" w:rsidRDefault="00000000">
      <w:r>
        <w:rPr>
          <w:b/>
          <w:bCs/>
          <w:color w:val="1F4E79"/>
        </w:rPr>
        <w:lastRenderedPageBreak/>
        <w:t xml:space="preserve">Begründung: </w:t>
      </w:r>
      <w:r>
        <w:t>Lewis et al. 2020 ist die kanonische Quelle für das RAG-Konzept.</w:t>
      </w:r>
    </w:p>
    <w:p w14:paraId="5C76E302" w14:textId="77777777" w:rsidR="001511F8" w:rsidRDefault="00000000">
      <w:r>
        <w:rPr>
          <w:b/>
          <w:bCs/>
          <w:color w:val="1F4E79"/>
        </w:rPr>
        <w:t xml:space="preserve">Quelle(n): </w:t>
      </w:r>
      <w:r>
        <w:t>Lewis, P., Perez, E., Piktus, A., Petroni, F., Karpukhin, V., Goyal, N., Küttler, H., Lewis, M., Yih, W., Rocktäschel, T., Riedel, S., &amp; Kiela, D (2020)</w:t>
      </w:r>
    </w:p>
    <w:p w14:paraId="57EF9AB8" w14:textId="77777777" w:rsidR="001511F8" w:rsidRDefault="001511F8"/>
    <w:p w14:paraId="1E0F5A44" w14:textId="49D7BDB6" w:rsidR="001511F8" w:rsidRDefault="00000000">
      <w:pPr>
        <w:pStyle w:val="berschrift2"/>
      </w:pPr>
      <w:r>
        <w:t>Halluzinationsreduktion durch RAG</w:t>
      </w:r>
    </w:p>
    <w:p w14:paraId="4E0698E0" w14:textId="77777777" w:rsidR="001511F8" w:rsidRDefault="00000000">
      <w:r>
        <w:rPr>
          <w:b/>
          <w:bCs/>
          <w:color w:val="1F4E79"/>
        </w:rPr>
        <w:t xml:space="preserve">Absatz im Original: </w:t>
      </w:r>
      <w:r>
        <w:t>Absatz 28 und 191</w:t>
      </w:r>
    </w:p>
    <w:p w14:paraId="6E23AFB9" w14:textId="77777777" w:rsidR="001511F8" w:rsidRDefault="00000000">
      <w:r>
        <w:rPr>
          <w:b/>
          <w:bCs/>
          <w:color w:val="1F4E79"/>
        </w:rPr>
        <w:t>Aktueller Text:</w:t>
      </w:r>
    </w:p>
    <w:p w14:paraId="6A19510D" w14:textId="77777777" w:rsidR="001511F8" w:rsidRDefault="00000000">
      <w:pPr>
        <w:pStyle w:val="IntensivesZitat"/>
      </w:pPr>
      <w:r>
        <w:t>„Aussage zu Halluzinationsreduktion ohne Beleg“</w:t>
      </w:r>
    </w:p>
    <w:p w14:paraId="684761DF" w14:textId="77777777" w:rsidR="001511F8" w:rsidRDefault="00000000">
      <w:r>
        <w:rPr>
          <w:b/>
          <w:bCs/>
          <w:color w:val="1F4E79"/>
        </w:rPr>
        <w:t>Vorschlag:</w:t>
      </w:r>
    </w:p>
    <w:p w14:paraId="15829569" w14:textId="77777777" w:rsidR="001511F8" w:rsidRDefault="00000000">
      <w:r>
        <w:t>Verweis: "… reduziert die Halluzinationsrate gegenüber rein parametrischem LLM-Wissen (Ji et al., 2023)…"</w:t>
      </w:r>
    </w:p>
    <w:p w14:paraId="4DAA981D" w14:textId="77777777" w:rsidR="001511F8" w:rsidRDefault="00000000">
      <w:r>
        <w:rPr>
          <w:b/>
          <w:bCs/>
          <w:color w:val="1F4E79"/>
        </w:rPr>
        <w:t xml:space="preserve">Begründung: </w:t>
      </w:r>
      <w:r>
        <w:t>Ji et al. liefern die kanonische Taxonomie und Evidenzbasis.</w:t>
      </w:r>
    </w:p>
    <w:p w14:paraId="249A6881" w14:textId="77777777" w:rsidR="001511F8" w:rsidRDefault="00000000">
      <w:r>
        <w:rPr>
          <w:b/>
          <w:bCs/>
          <w:color w:val="1F4E79"/>
        </w:rPr>
        <w:t xml:space="preserve">Quelle(n): </w:t>
      </w:r>
      <w:r>
        <w:t>Ji, Z., Lee, N., Frieske, R., Yu, T., Su, D., Xu, Y., Ishii, E., Bang, Y. J., Madotto, A., &amp; Fung, P (2023)</w:t>
      </w:r>
    </w:p>
    <w:p w14:paraId="52A7D9C7" w14:textId="77777777" w:rsidR="001511F8" w:rsidRDefault="001511F8"/>
    <w:p w14:paraId="0C5A9AFC" w14:textId="7495BF70" w:rsidR="001511F8" w:rsidRDefault="00000000">
      <w:pPr>
        <w:pStyle w:val="berschrift2"/>
      </w:pPr>
      <w:r>
        <w:t xml:space="preserve">Chunk-Größe 500 / </w:t>
      </w:r>
      <w:proofErr w:type="spellStart"/>
      <w:r>
        <w:t>Overlap</w:t>
      </w:r>
      <w:proofErr w:type="spellEnd"/>
      <w:r>
        <w:t xml:space="preserve"> 50</w:t>
      </w:r>
    </w:p>
    <w:p w14:paraId="0AF87A69" w14:textId="77777777" w:rsidR="001511F8" w:rsidRDefault="00000000">
      <w:r>
        <w:rPr>
          <w:b/>
          <w:bCs/>
          <w:color w:val="1F4E79"/>
        </w:rPr>
        <w:t xml:space="preserve">Absatz im Original: </w:t>
      </w:r>
      <w:r>
        <w:t>Absatz 75 (Schritt 3)</w:t>
      </w:r>
    </w:p>
    <w:p w14:paraId="797CBED8" w14:textId="77777777" w:rsidR="001511F8" w:rsidRDefault="00000000">
      <w:r>
        <w:rPr>
          <w:b/>
          <w:bCs/>
          <w:color w:val="1F4E79"/>
        </w:rPr>
        <w:t>Aktueller Text:</w:t>
      </w:r>
    </w:p>
    <w:p w14:paraId="41B26738" w14:textId="77777777" w:rsidR="001511F8" w:rsidRDefault="00000000">
      <w:pPr>
        <w:pStyle w:val="IntensivesZitat"/>
      </w:pPr>
      <w:r>
        <w:t>„Werte ohne Begründung“</w:t>
      </w:r>
    </w:p>
    <w:p w14:paraId="742EA7D5" w14:textId="77777777" w:rsidR="001511F8" w:rsidRDefault="00000000">
      <w:r>
        <w:rPr>
          <w:b/>
          <w:bCs/>
          <w:color w:val="1F4E79"/>
        </w:rPr>
        <w:t>Vorschlag:</w:t>
      </w:r>
    </w:p>
    <w:p w14:paraId="3CE98413" w14:textId="77777777" w:rsidR="001511F8" w:rsidRDefault="00000000">
      <w:r>
        <w:t>Begründung: "… in Anlehnung an die Empfehlung kleiner Chunks (200–500 Tokens) für domänenspezifische FAQs (Gao et al., 2024). 500 Zeichen entsprechen für deutschen Text ca. 125–200 Tokens und decken typischerweise eine in sich geschlossene Policy-Regel ab."</w:t>
      </w:r>
    </w:p>
    <w:p w14:paraId="657CA3BE" w14:textId="77777777" w:rsidR="001511F8" w:rsidRDefault="00000000">
      <w:r>
        <w:rPr>
          <w:b/>
          <w:bCs/>
          <w:color w:val="1F4E79"/>
        </w:rPr>
        <w:t xml:space="preserve">Begründung: </w:t>
      </w:r>
      <w:r>
        <w:t>Gao et al. ist der aktuelle RAG-Survey mit konkreten Praxisempfehlungen.</w:t>
      </w:r>
    </w:p>
    <w:p w14:paraId="79A29DDD" w14:textId="77777777" w:rsidR="001511F8" w:rsidRDefault="00000000">
      <w:r>
        <w:rPr>
          <w:b/>
          <w:bCs/>
          <w:color w:val="1F4E79"/>
        </w:rPr>
        <w:t xml:space="preserve">Quelle(n): </w:t>
      </w:r>
      <w:r>
        <w:t>Gao, Y., Xiong, Y., Gao, X., Jia, K., Pan, J., Bi, Y., Dai, Y., Sun, J., Wang, M., &amp; Wang, H (2024)</w:t>
      </w:r>
    </w:p>
    <w:p w14:paraId="6E8F326D" w14:textId="77777777" w:rsidR="001511F8" w:rsidRDefault="001511F8"/>
    <w:p w14:paraId="068E6547" w14:textId="40167B17" w:rsidR="001511F8" w:rsidRDefault="00000000">
      <w:pPr>
        <w:pStyle w:val="berschrift2"/>
      </w:pPr>
      <w:r>
        <w:t>text-embedding-3-small statt ada-002</w:t>
      </w:r>
    </w:p>
    <w:p w14:paraId="1FD01B01" w14:textId="77777777" w:rsidR="001511F8" w:rsidRDefault="00000000">
      <w:r>
        <w:rPr>
          <w:b/>
          <w:bCs/>
          <w:color w:val="1F4E79"/>
        </w:rPr>
        <w:t xml:space="preserve">Absatz im Original: </w:t>
      </w:r>
      <w:r>
        <w:t>Absatz 66</w:t>
      </w:r>
    </w:p>
    <w:p w14:paraId="0DA8B069" w14:textId="77777777" w:rsidR="001511F8" w:rsidRDefault="00000000">
      <w:r>
        <w:rPr>
          <w:b/>
          <w:bCs/>
          <w:color w:val="1F4E79"/>
        </w:rPr>
        <w:t>Aktueller Text:</w:t>
      </w:r>
    </w:p>
    <w:p w14:paraId="1B8464B8" w14:textId="77777777" w:rsidR="001511F8" w:rsidRDefault="00000000">
      <w:pPr>
        <w:pStyle w:val="IntensivesZitat"/>
      </w:pPr>
      <w:r>
        <w:t>„Modellwahl ohne Begründung“</w:t>
      </w:r>
    </w:p>
    <w:p w14:paraId="41189FA4" w14:textId="77777777" w:rsidR="001511F8" w:rsidRDefault="00000000">
      <w:r>
        <w:rPr>
          <w:b/>
          <w:bCs/>
          <w:color w:val="1F4E79"/>
        </w:rPr>
        <w:t>Vorschlag:</w:t>
      </w:r>
    </w:p>
    <w:p w14:paraId="68B12447" w14:textId="77777777" w:rsidR="001511F8" w:rsidRDefault="00000000">
      <w:r>
        <w:t>Begründung: "… text-embedding-3-small bietet gegenüber dem Vorgänger ada-002 bessere MTEB-Scores bei fünffach niedrigeren Token-Kosten (OpenAI, 2024)."</w:t>
      </w:r>
    </w:p>
    <w:p w14:paraId="6EC99F7E" w14:textId="77777777" w:rsidR="001511F8" w:rsidRDefault="00000000">
      <w:r>
        <w:rPr>
          <w:b/>
          <w:bCs/>
          <w:color w:val="1F4E79"/>
        </w:rPr>
        <w:t xml:space="preserve">Begründung: </w:t>
      </w:r>
      <w:r>
        <w:t>Offizielle OpenAI-Quelle mit Benchmark- und Preisangaben.</w:t>
      </w:r>
    </w:p>
    <w:p w14:paraId="47F88D99" w14:textId="77777777" w:rsidR="001511F8" w:rsidRDefault="00000000">
      <w:r>
        <w:rPr>
          <w:b/>
          <w:bCs/>
          <w:color w:val="1F4E79"/>
        </w:rPr>
        <w:t xml:space="preserve">Quelle(n): </w:t>
      </w:r>
      <w:r>
        <w:t>OpenAI (2024); Reimers, N., &amp; Gurevych, I (2019)</w:t>
      </w:r>
    </w:p>
    <w:p w14:paraId="255D04EB" w14:textId="77777777" w:rsidR="001511F8" w:rsidRDefault="001511F8"/>
    <w:p w14:paraId="7C927925" w14:textId="55756B57" w:rsidR="001511F8" w:rsidRDefault="00000000">
      <w:pPr>
        <w:pStyle w:val="berschrift2"/>
      </w:pPr>
      <w:proofErr w:type="spellStart"/>
      <w:r>
        <w:t>Cosine</w:t>
      </w:r>
      <w:proofErr w:type="spellEnd"/>
      <w:r>
        <w:t xml:space="preserve"> </w:t>
      </w:r>
      <w:proofErr w:type="spellStart"/>
      <w:r>
        <w:t>Similarity</w:t>
      </w:r>
      <w:proofErr w:type="spellEnd"/>
    </w:p>
    <w:p w14:paraId="1A3E6F1D" w14:textId="77777777" w:rsidR="001511F8" w:rsidRDefault="00000000">
      <w:r>
        <w:rPr>
          <w:b/>
          <w:bCs/>
          <w:color w:val="1F4E79"/>
        </w:rPr>
        <w:t xml:space="preserve">Absatz im Original: </w:t>
      </w:r>
      <w:r>
        <w:t>Absatz 62</w:t>
      </w:r>
    </w:p>
    <w:p w14:paraId="683969F3" w14:textId="77777777" w:rsidR="001511F8" w:rsidRDefault="00000000">
      <w:r>
        <w:rPr>
          <w:b/>
          <w:bCs/>
          <w:color w:val="1F4E79"/>
        </w:rPr>
        <w:t>Aktueller Text:</w:t>
      </w:r>
    </w:p>
    <w:p w14:paraId="7DA274E0" w14:textId="77777777" w:rsidR="001511F8" w:rsidRDefault="00000000">
      <w:pPr>
        <w:pStyle w:val="IntensivesZitat"/>
      </w:pPr>
      <w:r>
        <w:t>„Cosine wird genannt, nicht begründet“</w:t>
      </w:r>
    </w:p>
    <w:p w14:paraId="5C6AC144" w14:textId="77777777" w:rsidR="001511F8" w:rsidRDefault="00000000">
      <w:r>
        <w:rPr>
          <w:b/>
          <w:bCs/>
          <w:color w:val="1F4E79"/>
        </w:rPr>
        <w:t>Vorschlag:</w:t>
      </w:r>
    </w:p>
    <w:p w14:paraId="06852C57" w14:textId="77777777" w:rsidR="001511F8" w:rsidRDefault="00000000">
      <w:r>
        <w:t>Begründung: "OpenAI-Embeddings sind L2-normiert; die semantische Information liegt in der Richtung, nicht in der Magnitude. Cosine Similarity ist daher das passende Distanzmaß (vgl. Reimers &amp; Gurevych, 2019)."</w:t>
      </w:r>
    </w:p>
    <w:p w14:paraId="3E02C8E4" w14:textId="77777777" w:rsidR="001511F8" w:rsidRDefault="00000000">
      <w:r>
        <w:rPr>
          <w:b/>
          <w:bCs/>
          <w:color w:val="1F4E79"/>
        </w:rPr>
        <w:t xml:space="preserve">Begründung: </w:t>
      </w:r>
      <w:r>
        <w:t>Reimers &amp; Gurevych sind die methodische Referenz für Sentence Embeddings und Cosine-basierte Ähnlichkeit.</w:t>
      </w:r>
    </w:p>
    <w:p w14:paraId="0BE1B104" w14:textId="77777777" w:rsidR="001511F8" w:rsidRDefault="00000000">
      <w:r>
        <w:rPr>
          <w:b/>
          <w:bCs/>
          <w:color w:val="1F4E79"/>
        </w:rPr>
        <w:t xml:space="preserve">Quelle(n): </w:t>
      </w:r>
      <w:r>
        <w:t>Reimers, N., &amp; Gurevych, I (2019)</w:t>
      </w:r>
    </w:p>
    <w:p w14:paraId="6C50A64A" w14:textId="77777777" w:rsidR="001511F8" w:rsidRDefault="001511F8"/>
    <w:p w14:paraId="6D085BCB" w14:textId="770CF37F" w:rsidR="001511F8" w:rsidRDefault="00000000">
      <w:pPr>
        <w:pStyle w:val="berschrift2"/>
      </w:pPr>
      <w:r>
        <w:t>HNSW-</w:t>
      </w:r>
      <w:proofErr w:type="spellStart"/>
      <w:r>
        <w:t>Indextyp</w:t>
      </w:r>
      <w:proofErr w:type="spellEnd"/>
      <w:r>
        <w:t xml:space="preserve"> (sobald durch B2 ergänzt)</w:t>
      </w:r>
    </w:p>
    <w:p w14:paraId="74B65EC6" w14:textId="77777777" w:rsidR="001511F8" w:rsidRDefault="00000000">
      <w:r>
        <w:rPr>
          <w:b/>
          <w:bCs/>
          <w:color w:val="1F4E79"/>
        </w:rPr>
        <w:t xml:space="preserve">Absatz im Original: </w:t>
      </w:r>
      <w:r>
        <w:t>(neu in Kap. 3.1)</w:t>
      </w:r>
    </w:p>
    <w:p w14:paraId="135EBEA7" w14:textId="77777777" w:rsidR="001511F8" w:rsidRDefault="00000000">
      <w:r>
        <w:rPr>
          <w:b/>
          <w:bCs/>
          <w:color w:val="1F4E79"/>
        </w:rPr>
        <w:t>Aktueller Text:</w:t>
      </w:r>
    </w:p>
    <w:p w14:paraId="34C4D5B9" w14:textId="77777777" w:rsidR="001511F8" w:rsidRDefault="00000000">
      <w:pPr>
        <w:pStyle w:val="IntensivesZitat"/>
      </w:pPr>
      <w:r>
        <w:lastRenderedPageBreak/>
        <w:t>„Nicht vorhanden“</w:t>
      </w:r>
    </w:p>
    <w:p w14:paraId="7E47F7DD" w14:textId="77777777" w:rsidR="001511F8" w:rsidRDefault="00000000">
      <w:r>
        <w:rPr>
          <w:b/>
          <w:bCs/>
          <w:color w:val="1F4E79"/>
        </w:rPr>
        <w:t>Vorschlag:</w:t>
      </w:r>
    </w:p>
    <w:p w14:paraId="29FCDB70" w14:textId="77777777" w:rsidR="001511F8" w:rsidRDefault="00000000">
      <w:r>
        <w:t>Quellenverweis: "… Hierarchical Navigable Small World Index (Malkov &amp; Yashunin, 2020)…"</w:t>
      </w:r>
    </w:p>
    <w:p w14:paraId="647B1ECB" w14:textId="77777777" w:rsidR="001511F8" w:rsidRDefault="00000000">
      <w:r>
        <w:rPr>
          <w:b/>
          <w:bCs/>
          <w:color w:val="1F4E79"/>
        </w:rPr>
        <w:t xml:space="preserve">Begründung: </w:t>
      </w:r>
      <w:r>
        <w:t>Originalpaper zum Indexalgorithmus.</w:t>
      </w:r>
    </w:p>
    <w:p w14:paraId="62593A0B" w14:textId="77777777" w:rsidR="001511F8" w:rsidRDefault="00000000">
      <w:r>
        <w:rPr>
          <w:b/>
          <w:bCs/>
          <w:color w:val="1F4E79"/>
        </w:rPr>
        <w:t xml:space="preserve">Quelle(n): </w:t>
      </w:r>
      <w:r>
        <w:t>Malkov, Y. A., &amp; Yashunin, D. A (2020)</w:t>
      </w:r>
    </w:p>
    <w:p w14:paraId="1414B235" w14:textId="77777777" w:rsidR="001511F8" w:rsidRDefault="001511F8"/>
    <w:p w14:paraId="7905588B" w14:textId="7AC44943" w:rsidR="001511F8" w:rsidRDefault="00000000">
      <w:pPr>
        <w:pStyle w:val="berschrift2"/>
      </w:pPr>
      <w:r>
        <w:t>Gehärteter System-Prompt erzwingt Tool-Nutzung</w:t>
      </w:r>
    </w:p>
    <w:p w14:paraId="5D22BCAA" w14:textId="77777777" w:rsidR="001511F8" w:rsidRDefault="00000000">
      <w:r>
        <w:rPr>
          <w:b/>
          <w:bCs/>
          <w:color w:val="1F4E79"/>
        </w:rPr>
        <w:t xml:space="preserve">Absatz im Original: </w:t>
      </w:r>
      <w:r>
        <w:t>Absatz 87 und 101</w:t>
      </w:r>
    </w:p>
    <w:p w14:paraId="18AC9C74" w14:textId="77777777" w:rsidR="001511F8" w:rsidRDefault="00000000">
      <w:r>
        <w:rPr>
          <w:b/>
          <w:bCs/>
          <w:color w:val="1F4E79"/>
        </w:rPr>
        <w:t>Aktueller Text:</w:t>
      </w:r>
    </w:p>
    <w:p w14:paraId="30FAC7B0" w14:textId="77777777" w:rsidR="001511F8" w:rsidRDefault="00000000">
      <w:pPr>
        <w:pStyle w:val="IntensivesZitat"/>
      </w:pPr>
      <w:r>
        <w:t>„Aussage ohne Quellenbezug“</w:t>
      </w:r>
    </w:p>
    <w:p w14:paraId="1FCB7199" w14:textId="77777777" w:rsidR="001511F8" w:rsidRDefault="00000000">
      <w:r>
        <w:rPr>
          <w:b/>
          <w:bCs/>
          <w:color w:val="1F4E79"/>
        </w:rPr>
        <w:t>Vorschlag:</w:t>
      </w:r>
    </w:p>
    <w:p w14:paraId="5AD1B912" w14:textId="77777777" w:rsidR="001511F8" w:rsidRDefault="00000000">
      <w:r>
        <w:t>Verweis: "… direkte, restriktive Anweisungen sind effektiver als höfliche Hinweise (Brown et al., 2020; Wei et al., 2022)…"</w:t>
      </w:r>
    </w:p>
    <w:p w14:paraId="3AB5D41C" w14:textId="77777777" w:rsidR="001511F8" w:rsidRDefault="00000000">
      <w:r>
        <w:rPr>
          <w:b/>
          <w:bCs/>
          <w:color w:val="1F4E79"/>
        </w:rPr>
        <w:t xml:space="preserve">Begründung: </w:t>
      </w:r>
      <w:r>
        <w:t>Kanonische Quellen zu Prompting-Effekten.</w:t>
      </w:r>
    </w:p>
    <w:p w14:paraId="6C971794" w14:textId="77777777" w:rsidR="001511F8" w:rsidRDefault="00000000">
      <w:r>
        <w:rPr>
          <w:b/>
          <w:bCs/>
          <w:color w:val="1F4E79"/>
        </w:rPr>
        <w:t xml:space="preserve">Quelle(n): </w:t>
      </w:r>
      <w:r>
        <w:t>Brown, T. B., Mann, B., Ryder, N., Subbiah, M., Kaplan, J., Dhariwal, P., Neelakantan, A., Shyam, P., Sastry, G., Askell, A., Agarwal, S., Herbert-Voss, A., Krueger, G., Henighan, T., Child, R., Ramesh, A., Ziegler, D. M., Wu, J., Winter, C., … Amodei, D (2020); Wei, J., Wang, X., Schuurmans, D., Bosma, M., Ichter, B., Xia, F., Chi, E. H., Le, Q. V., &amp; Zhou, D (2022)</w:t>
      </w:r>
    </w:p>
    <w:p w14:paraId="7B7067B2" w14:textId="77777777" w:rsidR="001511F8" w:rsidRDefault="001511F8"/>
    <w:p w14:paraId="22471D43" w14:textId="65522212" w:rsidR="001511F8" w:rsidRDefault="00000000">
      <w:pPr>
        <w:pStyle w:val="berschrift2"/>
      </w:pPr>
      <w:proofErr w:type="spellStart"/>
      <w:r>
        <w:t>Temperature</w:t>
      </w:r>
      <w:proofErr w:type="spellEnd"/>
      <w:r>
        <w:t xml:space="preserve"> 0 </w:t>
      </w:r>
    </w:p>
    <w:p w14:paraId="1D3A6816" w14:textId="77777777" w:rsidR="001511F8" w:rsidRDefault="00000000">
      <w:r>
        <w:rPr>
          <w:b/>
          <w:bCs/>
          <w:color w:val="1F4E79"/>
        </w:rPr>
        <w:t xml:space="preserve">Absatz im Original: </w:t>
      </w:r>
      <w:r>
        <w:t>(neu in Kap. 3.1 oder 4.3)</w:t>
      </w:r>
    </w:p>
    <w:p w14:paraId="64B7D82D" w14:textId="77777777" w:rsidR="001511F8" w:rsidRDefault="00000000">
      <w:r>
        <w:rPr>
          <w:b/>
          <w:bCs/>
          <w:color w:val="1F4E79"/>
        </w:rPr>
        <w:t>Aktueller Text:</w:t>
      </w:r>
    </w:p>
    <w:p w14:paraId="7BED1B6C" w14:textId="77777777" w:rsidR="001511F8" w:rsidRDefault="00000000">
      <w:pPr>
        <w:pStyle w:val="IntensivesZitat"/>
      </w:pPr>
      <w:r>
        <w:t>„Nicht vorhanden“</w:t>
      </w:r>
    </w:p>
    <w:p w14:paraId="5241FFB6" w14:textId="77777777" w:rsidR="001511F8" w:rsidRDefault="00000000">
      <w:r>
        <w:rPr>
          <w:b/>
          <w:bCs/>
          <w:color w:val="1F4E79"/>
        </w:rPr>
        <w:t>Vorschlag:</w:t>
      </w:r>
    </w:p>
    <w:p w14:paraId="48FBBE29" w14:textId="1AF1E7E1" w:rsidR="001511F8" w:rsidRDefault="00000000">
      <w:r>
        <w:lastRenderedPageBreak/>
        <w:t>Inline-Quelle: "… (Holtzman et al., 2020; OpenAI, n.d.). Für faktenorientierte RAG-Systeme wird der Bereich T ∈ [0, 0.3] empfohlen."</w:t>
      </w:r>
      <w:r w:rsidR="0000329E">
        <w:t xml:space="preserve"> </w:t>
      </w:r>
    </w:p>
    <w:p w14:paraId="7CBB0AF3" w14:textId="77777777" w:rsidR="001511F8" w:rsidRDefault="00000000">
      <w:r>
        <w:rPr>
          <w:b/>
          <w:bCs/>
          <w:color w:val="1F4E79"/>
        </w:rPr>
        <w:t xml:space="preserve">Begründung: </w:t>
      </w:r>
      <w:r>
        <w:t>Originalpaper zu Sampling/Degeneration plus offizielle OpenAI-Dokumentation.</w:t>
      </w:r>
    </w:p>
    <w:p w14:paraId="2EA0073C" w14:textId="77777777" w:rsidR="001511F8" w:rsidRDefault="00000000">
      <w:r>
        <w:rPr>
          <w:b/>
          <w:bCs/>
          <w:color w:val="1F4E79"/>
        </w:rPr>
        <w:t xml:space="preserve">Quelle(n): </w:t>
      </w:r>
      <w:r>
        <w:t>Holtzman, A., Buys, J., Du, L., Forbes, M., &amp; Choi, Y (2020); OpenAI (n.d.)</w:t>
      </w:r>
    </w:p>
    <w:p w14:paraId="4C42657C" w14:textId="77777777" w:rsidR="001511F8" w:rsidRDefault="001511F8"/>
    <w:p w14:paraId="2A3C13F9" w14:textId="5368B2EF" w:rsidR="001511F8" w:rsidRDefault="00000000">
      <w:pPr>
        <w:pStyle w:val="berschrift2"/>
      </w:pPr>
      <w:r>
        <w:t>EU AI Act Limited Risk / Art. 50</w:t>
      </w:r>
    </w:p>
    <w:p w14:paraId="5DD70DB3" w14:textId="77777777" w:rsidR="001511F8" w:rsidRDefault="00000000">
      <w:r>
        <w:rPr>
          <w:b/>
          <w:bCs/>
          <w:color w:val="1F4E79"/>
        </w:rPr>
        <w:t xml:space="preserve">Absatz im Original: </w:t>
      </w:r>
      <w:r>
        <w:t>Absätze 156, 169, 174</w:t>
      </w:r>
    </w:p>
    <w:p w14:paraId="1E35687E" w14:textId="77777777" w:rsidR="001511F8" w:rsidRDefault="00000000">
      <w:r>
        <w:rPr>
          <w:b/>
          <w:bCs/>
          <w:color w:val="1F4E79"/>
        </w:rPr>
        <w:t>Aktueller Text:</w:t>
      </w:r>
    </w:p>
    <w:p w14:paraId="01F662CC" w14:textId="77777777" w:rsidR="001511F8" w:rsidRDefault="00000000">
      <w:pPr>
        <w:pStyle w:val="IntensivesZitat"/>
      </w:pPr>
      <w:r>
        <w:t>„EU AI Act wird genannt, aber nicht zitiert“</w:t>
      </w:r>
    </w:p>
    <w:p w14:paraId="6438E85A" w14:textId="77777777" w:rsidR="001511F8" w:rsidRDefault="00000000">
      <w:r>
        <w:rPr>
          <w:b/>
          <w:bCs/>
          <w:color w:val="1F4E79"/>
        </w:rPr>
        <w:t>Vorschlag:</w:t>
      </w:r>
    </w:p>
    <w:p w14:paraId="7636A008" w14:textId="77777777" w:rsidR="001511F8" w:rsidRDefault="00000000">
      <w:r>
        <w:t>Inline-Quellen: "Verordnung (EU) 2024/1689, Art. 50; vgl. Veale &amp; Zuiderveen Borgesius, 2021; Edwards, 2022."</w:t>
      </w:r>
    </w:p>
    <w:p w14:paraId="28A653DC" w14:textId="3A571E53" w:rsidR="001511F8" w:rsidRDefault="00000000">
      <w:r>
        <w:rPr>
          <w:b/>
          <w:bCs/>
          <w:color w:val="1F4E79"/>
        </w:rPr>
        <w:t xml:space="preserve">Begründung: </w:t>
      </w:r>
      <w:r>
        <w:t xml:space="preserve">Primärquelle plus zwei der meistzitierten Sekundärquellen zum </w:t>
      </w:r>
      <w:proofErr w:type="gramStart"/>
      <w:r>
        <w:t>AI Act</w:t>
      </w:r>
      <w:proofErr w:type="gramEnd"/>
      <w:r>
        <w:t>.</w:t>
      </w:r>
      <w:r w:rsidR="0000329E">
        <w:t xml:space="preserve"> Es geht hier </w:t>
      </w:r>
      <w:proofErr w:type="gramStart"/>
      <w:r w:rsidR="0000329E">
        <w:t>ja auch</w:t>
      </w:r>
      <w:proofErr w:type="gramEnd"/>
      <w:r w:rsidR="0000329E">
        <w:t xml:space="preserve"> um die Auslegung.</w:t>
      </w:r>
    </w:p>
    <w:p w14:paraId="0FEBE9A1" w14:textId="1B9564E4" w:rsidR="001511F8" w:rsidRDefault="00000000">
      <w:r>
        <w:rPr>
          <w:b/>
          <w:bCs/>
          <w:color w:val="1F4E79"/>
        </w:rPr>
        <w:t xml:space="preserve">Quelle(n): </w:t>
      </w:r>
      <w:r>
        <w:t>European Parliament and Council of the European Union (2024); Veale, M., &amp; Zuiderveen Borgesius, F (2021); Edwards, L (2022)</w:t>
      </w:r>
      <w:r w:rsidR="0000329E">
        <w:t xml:space="preserve"> </w:t>
      </w:r>
    </w:p>
    <w:p w14:paraId="686E7CA2" w14:textId="77777777" w:rsidR="001511F8" w:rsidRDefault="001511F8"/>
    <w:p w14:paraId="71B04710" w14:textId="50E59CB7" w:rsidR="001511F8" w:rsidRDefault="00000000">
      <w:pPr>
        <w:pStyle w:val="berschrift2"/>
      </w:pPr>
      <w:r>
        <w:t>GPAI-Pflichten (Art. 51 ff.)</w:t>
      </w:r>
    </w:p>
    <w:p w14:paraId="12A32674" w14:textId="77777777" w:rsidR="001511F8" w:rsidRDefault="00000000">
      <w:r>
        <w:rPr>
          <w:b/>
          <w:bCs/>
          <w:color w:val="1F4E79"/>
        </w:rPr>
        <w:t xml:space="preserve">Absatz im Original: </w:t>
      </w:r>
      <w:r>
        <w:t>Absatz 165 nach Korrektur durch A1</w:t>
      </w:r>
    </w:p>
    <w:p w14:paraId="1806EA83" w14:textId="77777777" w:rsidR="001511F8" w:rsidRDefault="00000000">
      <w:r>
        <w:rPr>
          <w:b/>
          <w:bCs/>
          <w:color w:val="1F4E79"/>
        </w:rPr>
        <w:t>Aktueller Text:</w:t>
      </w:r>
    </w:p>
    <w:p w14:paraId="5C5F6A2C" w14:textId="77777777" w:rsidR="001511F8" w:rsidRDefault="00000000">
      <w:pPr>
        <w:pStyle w:val="IntensivesZitat"/>
      </w:pPr>
      <w:r>
        <w:t>„Nicht erwähnt“</w:t>
      </w:r>
    </w:p>
    <w:p w14:paraId="5378F7DE" w14:textId="77777777" w:rsidR="001511F8" w:rsidRDefault="00000000">
      <w:r>
        <w:rPr>
          <w:b/>
          <w:bCs/>
          <w:color w:val="1F4E79"/>
        </w:rPr>
        <w:t>Vorschlag:</w:t>
      </w:r>
    </w:p>
    <w:p w14:paraId="62C9F057" w14:textId="77777777" w:rsidR="001511F8" w:rsidRDefault="00000000">
      <w:r>
        <w:t>Verweis: "… OpenAI unterliegt als GPAI-Provider den eigenen Pflichten nach Art. 51 ff. (vgl. Hacker, Engel &amp; Mauer, 2023)…"</w:t>
      </w:r>
    </w:p>
    <w:p w14:paraId="78161AA2" w14:textId="77777777" w:rsidR="001511F8" w:rsidRDefault="00000000">
      <w:r>
        <w:rPr>
          <w:b/>
          <w:bCs/>
          <w:color w:val="1F4E79"/>
        </w:rPr>
        <w:t xml:space="preserve">Begründung: </w:t>
      </w:r>
      <w:r>
        <w:t>Hacker et al. ist die akademisch-rechtliche Referenz für GPAI-Regulierung.</w:t>
      </w:r>
    </w:p>
    <w:p w14:paraId="0308C1AD" w14:textId="77777777" w:rsidR="001511F8" w:rsidRDefault="00000000">
      <w:r>
        <w:rPr>
          <w:b/>
          <w:bCs/>
          <w:color w:val="1F4E79"/>
        </w:rPr>
        <w:t xml:space="preserve">Quelle(n): </w:t>
      </w:r>
      <w:r>
        <w:t>Hacker, P., Engel, A., &amp; Mauer, M (2023)</w:t>
      </w:r>
    </w:p>
    <w:p w14:paraId="01FAB10A" w14:textId="77777777" w:rsidR="001511F8" w:rsidRDefault="001511F8"/>
    <w:p w14:paraId="0966800A" w14:textId="053F1F97" w:rsidR="001511F8" w:rsidRDefault="00000000">
      <w:pPr>
        <w:pStyle w:val="berschrift2"/>
      </w:pPr>
      <w:r>
        <w:t>DSGVO-Bezug</w:t>
      </w:r>
    </w:p>
    <w:p w14:paraId="3C4ABAF9" w14:textId="77777777" w:rsidR="001511F8" w:rsidRDefault="00000000">
      <w:r>
        <w:rPr>
          <w:b/>
          <w:bCs/>
          <w:color w:val="1F4E79"/>
        </w:rPr>
        <w:t xml:space="preserve">Absatz im Original: </w:t>
      </w:r>
      <w:r>
        <w:t>Absatz 136 nach Korrektur durch A4</w:t>
      </w:r>
    </w:p>
    <w:p w14:paraId="19F3AF48" w14:textId="77777777" w:rsidR="001511F8" w:rsidRDefault="00000000">
      <w:r>
        <w:rPr>
          <w:b/>
          <w:bCs/>
          <w:color w:val="1F4E79"/>
        </w:rPr>
        <w:t>Aktueller Text:</w:t>
      </w:r>
    </w:p>
    <w:p w14:paraId="34980FBC" w14:textId="77777777" w:rsidR="001511F8" w:rsidRDefault="00000000">
      <w:pPr>
        <w:pStyle w:val="IntensivesZitat"/>
      </w:pPr>
      <w:r>
        <w:t>„DSGVO wird genannt, nicht zitiert“</w:t>
      </w:r>
    </w:p>
    <w:p w14:paraId="48A06A13" w14:textId="77777777" w:rsidR="001511F8" w:rsidRDefault="00000000">
      <w:r>
        <w:rPr>
          <w:b/>
          <w:bCs/>
          <w:color w:val="1F4E79"/>
        </w:rPr>
        <w:t>Vorschlag:</w:t>
      </w:r>
    </w:p>
    <w:p w14:paraId="4D123F61" w14:textId="77777777" w:rsidR="001511F8" w:rsidRDefault="00000000">
      <w:r>
        <w:t>Verweis: "(Verordnung (EU) 2016/679, DSGVO)."</w:t>
      </w:r>
    </w:p>
    <w:p w14:paraId="50165C55" w14:textId="3F407BBD" w:rsidR="001511F8" w:rsidRDefault="00000000">
      <w:r>
        <w:rPr>
          <w:b/>
          <w:bCs/>
          <w:color w:val="1F4E79"/>
        </w:rPr>
        <w:t xml:space="preserve">Begründung: </w:t>
      </w:r>
      <w:r>
        <w:t>Primärquelle der Datenschutz-Grundverordnung.</w:t>
      </w:r>
      <w:r w:rsidR="0000329E">
        <w:t xml:space="preserve"> Können es gerne auch nur als Vollzitat oder wie auch immer handhaben.</w:t>
      </w:r>
    </w:p>
    <w:p w14:paraId="04E0F888" w14:textId="77777777" w:rsidR="001511F8" w:rsidRDefault="00000000">
      <w:r>
        <w:rPr>
          <w:b/>
          <w:bCs/>
          <w:color w:val="1F4E79"/>
        </w:rPr>
        <w:t xml:space="preserve">Quelle(n): </w:t>
      </w:r>
      <w:r>
        <w:t>European Parliament and Council of the European Union (2016)</w:t>
      </w:r>
    </w:p>
    <w:p w14:paraId="45AB301B" w14:textId="77777777" w:rsidR="001511F8" w:rsidRDefault="001511F8"/>
    <w:p w14:paraId="53614636" w14:textId="4B8BFAE3" w:rsidR="001511F8" w:rsidRDefault="00000000">
      <w:pPr>
        <w:pStyle w:val="berschrift2"/>
      </w:pPr>
      <w:r>
        <w:t>HR-Chatbot-Use-Case und Adoption</w:t>
      </w:r>
    </w:p>
    <w:p w14:paraId="55CF6D9E" w14:textId="77777777" w:rsidR="001511F8" w:rsidRDefault="00000000">
      <w:r>
        <w:rPr>
          <w:b/>
          <w:bCs/>
          <w:color w:val="1F4E79"/>
        </w:rPr>
        <w:t xml:space="preserve">Absatz im Original: </w:t>
      </w:r>
      <w:r>
        <w:t>Absätze 18–34 (Kap. 1)</w:t>
      </w:r>
    </w:p>
    <w:p w14:paraId="11AD24BC" w14:textId="77777777" w:rsidR="001511F8" w:rsidRDefault="00000000">
      <w:r>
        <w:rPr>
          <w:b/>
          <w:bCs/>
          <w:color w:val="1F4E79"/>
        </w:rPr>
        <w:t>Aktueller Text:</w:t>
      </w:r>
    </w:p>
    <w:p w14:paraId="3A670E13" w14:textId="77777777" w:rsidR="001511F8" w:rsidRDefault="00000000">
      <w:pPr>
        <w:pStyle w:val="IntensivesZitat"/>
      </w:pPr>
      <w:r>
        <w:t>„Unternehmenssituation ohne wissenschaftliche Einbettung“</w:t>
      </w:r>
    </w:p>
    <w:p w14:paraId="1E93B736" w14:textId="77777777" w:rsidR="001511F8" w:rsidRDefault="00000000">
      <w:r>
        <w:rPr>
          <w:b/>
          <w:bCs/>
          <w:color w:val="1F4E79"/>
        </w:rPr>
        <w:t>Vorschlag:</w:t>
      </w:r>
    </w:p>
    <w:p w14:paraId="23E850F6" w14:textId="77777777" w:rsidR="001511F8" w:rsidRDefault="00000000">
      <w:r>
        <w:t>Einleitungssatz zu Kap. 1.1 ergänzen: "… Repetitive HR-Anfragen gehören zu den am häufigsten genannten Anwendungsfällen für KI-Unterstützung im Personalwesen (Tambe et al., 2019; Vrontis et al., 2022)…"</w:t>
      </w:r>
    </w:p>
    <w:p w14:paraId="2276A5A4" w14:textId="77777777" w:rsidR="001511F8" w:rsidRDefault="00000000">
      <w:r>
        <w:rPr>
          <w:b/>
          <w:bCs/>
          <w:color w:val="1F4E79"/>
        </w:rPr>
        <w:t xml:space="preserve">Begründung: </w:t>
      </w:r>
      <w:r>
        <w:t>Akademische Einbettung des Use-Cases erhöht die Anschlussfähigkeit an die Bewertung im LLM-Kurs.</w:t>
      </w:r>
    </w:p>
    <w:p w14:paraId="3CBD47DD" w14:textId="77777777" w:rsidR="001511F8" w:rsidRDefault="00000000">
      <w:r>
        <w:rPr>
          <w:b/>
          <w:bCs/>
          <w:color w:val="1F4E79"/>
        </w:rPr>
        <w:t xml:space="preserve">Quelle(n): </w:t>
      </w:r>
      <w:r>
        <w:t>Tambe, P., Cappelli, P., &amp; Yakubovich, V (2019); Vrontis, D., Christofi, M., Pereira, V., Tarba, S., Makrides, A., &amp; Trichina, E (2022)</w:t>
      </w:r>
    </w:p>
    <w:p w14:paraId="447AC778" w14:textId="77777777" w:rsidR="001511F8" w:rsidRDefault="001511F8"/>
    <w:p w14:paraId="35432CCC" w14:textId="3AC6449B" w:rsidR="001511F8" w:rsidRDefault="00000000">
      <w:pPr>
        <w:pStyle w:val="berschrift2"/>
      </w:pPr>
      <w:r>
        <w:t>Werkzeug-Quellen (</w:t>
      </w:r>
      <w:proofErr w:type="spellStart"/>
      <w:r>
        <w:t>pgvector</w:t>
      </w:r>
      <w:proofErr w:type="spellEnd"/>
      <w:r>
        <w:t xml:space="preserve">, </w:t>
      </w:r>
      <w:proofErr w:type="spellStart"/>
      <w:r>
        <w:t>Supabase</w:t>
      </w:r>
      <w:proofErr w:type="spellEnd"/>
      <w:r>
        <w:t>, n8n)</w:t>
      </w:r>
    </w:p>
    <w:p w14:paraId="6D1A5EA8" w14:textId="77777777" w:rsidR="001511F8" w:rsidRDefault="00000000">
      <w:r>
        <w:rPr>
          <w:b/>
          <w:bCs/>
          <w:color w:val="1F4E79"/>
        </w:rPr>
        <w:t xml:space="preserve">Absatz im Original: </w:t>
      </w:r>
      <w:r>
        <w:t>Absätze 60, 62</w:t>
      </w:r>
    </w:p>
    <w:p w14:paraId="27AE36FD" w14:textId="77777777" w:rsidR="001511F8" w:rsidRDefault="00000000">
      <w:r>
        <w:rPr>
          <w:b/>
          <w:bCs/>
          <w:color w:val="1F4E79"/>
        </w:rPr>
        <w:t>Aktueller Text:</w:t>
      </w:r>
    </w:p>
    <w:p w14:paraId="6180475F" w14:textId="77777777" w:rsidR="001511F8" w:rsidRDefault="00000000">
      <w:pPr>
        <w:pStyle w:val="IntensivesZitat"/>
      </w:pPr>
      <w:r>
        <w:lastRenderedPageBreak/>
        <w:t>„Werkzeuge ohne Beleg“</w:t>
      </w:r>
    </w:p>
    <w:p w14:paraId="113F01F3" w14:textId="77777777" w:rsidR="001511F8" w:rsidRDefault="00000000">
      <w:r>
        <w:rPr>
          <w:b/>
          <w:bCs/>
          <w:color w:val="1F4E79"/>
        </w:rPr>
        <w:t>Vorschlag:</w:t>
      </w:r>
    </w:p>
    <w:p w14:paraId="393A731C" w14:textId="77777777" w:rsidR="001511F8" w:rsidRDefault="00000000">
      <w:r>
        <w:t>Fußnoten oder Inline-Verweise: pgvector (2024); Supabase (2024); n8n (2024).</w:t>
      </w:r>
    </w:p>
    <w:p w14:paraId="125EDCFB" w14:textId="63CE9C74" w:rsidR="001511F8" w:rsidRDefault="00000000">
      <w:r>
        <w:rPr>
          <w:b/>
          <w:bCs/>
          <w:color w:val="1F4E79"/>
        </w:rPr>
        <w:t xml:space="preserve">Begründung: </w:t>
      </w:r>
      <w:r>
        <w:t>Auch Tool-Dokumentationen gehören bei einer technischen Doku in das Quellenverzeichnis.</w:t>
      </w:r>
      <w:r w:rsidR="0000329E">
        <w:t xml:space="preserve"> Das ist </w:t>
      </w:r>
      <w:proofErr w:type="gramStart"/>
      <w:r w:rsidR="0000329E">
        <w:t>sogar relativ</w:t>
      </w:r>
      <w:proofErr w:type="gramEnd"/>
      <w:r w:rsidR="0000329E">
        <w:t xml:space="preserve"> wichtig, besonders auch die genutzte Version (Stichpunkt Versionsinkompatibilität). </w:t>
      </w:r>
    </w:p>
    <w:p w14:paraId="6F4F1E5E" w14:textId="4283D99A" w:rsidR="001511F8" w:rsidRDefault="00000000">
      <w:r>
        <w:rPr>
          <w:b/>
          <w:bCs/>
          <w:color w:val="1F4E79"/>
        </w:rPr>
        <w:t xml:space="preserve">Quelle(n): </w:t>
      </w:r>
      <w:r>
        <w:t>pgvector (2024); Supabase (2024); n8n (2024)</w:t>
      </w:r>
    </w:p>
    <w:p w14:paraId="51A4C3F8" w14:textId="77777777" w:rsidR="001511F8" w:rsidRDefault="001511F8"/>
    <w:p w14:paraId="38FED16B" w14:textId="77777777" w:rsidR="001511F8" w:rsidRDefault="00000000">
      <w:pPr>
        <w:pStyle w:val="berschrift1"/>
      </w:pPr>
      <w:r>
        <w:t>Quellenverzeichnis (APA 7)</w:t>
      </w:r>
    </w:p>
    <w:p w14:paraId="2739A81E" w14:textId="459FE888" w:rsidR="0000329E" w:rsidRDefault="0000329E" w:rsidP="0000329E">
      <w:r>
        <w:t>Such dir raus, was du brauchst.</w:t>
      </w:r>
    </w:p>
    <w:p w14:paraId="3791849C" w14:textId="77777777" w:rsidR="0000329E" w:rsidRDefault="0000329E" w:rsidP="0000329E"/>
    <w:p w14:paraId="6138C4AD" w14:textId="77777777" w:rsidR="0000329E" w:rsidRPr="0000329E" w:rsidRDefault="0000329E" w:rsidP="0000329E"/>
    <w:p w14:paraId="22B4C4EC" w14:textId="77777777" w:rsidR="001511F8" w:rsidRDefault="00000000">
      <w:r>
        <w:t>Lewis, P., Perez, E., Piktus, A., Petroni, F., Karpukhin, V., Goyal, N., Küttler, H., Lewis, M., Yih, W., Rocktäschel, T., Riedel, S., &amp; Kiela, D. (2020). Retrieval-augmented generation for knowledge-intensive NLP tasks. Advances in Neural Information Processing Systems, 33, 9459–9474. https://arxiv.org/abs/2005.11401</w:t>
      </w:r>
    </w:p>
    <w:p w14:paraId="0BF35D6A" w14:textId="77777777" w:rsidR="001511F8" w:rsidRDefault="00000000">
      <w: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14:paraId="12537085" w14:textId="77777777" w:rsidR="001511F8" w:rsidRDefault="00000000">
      <w:r>
        <w:t>Malkov, Y. A., &amp; Yashunin, D. A. (2020). Efficient and robust approximate nearest neighbor search using hierarchical navigable small world graphs. IEEE Transactions on Pattern Analysis and Machine Intelligence, 42(4), 824–836. https://doi.org/10.1109/TPAMI.2018.2889473</w:t>
      </w:r>
    </w:p>
    <w:p w14:paraId="26105CF5" w14:textId="77777777" w:rsidR="001511F8" w:rsidRDefault="00000000">
      <w:r>
        <w:t>Brown, T. B., Mann, B., Ryder, N., Subbiah, M., Kaplan, J., Dhariwal, P., Neelakantan, A., Shyam, P., Sastry, G., Askell, A., Agarwal, S., Herbert-Voss, A., Krueger, G., Henighan, T., Child, R., Ramesh, A., Ziegler, D. M., Wu, J., Winter, C., … Amodei, D. (2020). Language models are few-shot learners. Advances in Neural Information Processing Systems, 33, 1877–1901. https://arxiv.org/abs/2005.14165</w:t>
      </w:r>
    </w:p>
    <w:p w14:paraId="5CCAF726" w14:textId="77777777" w:rsidR="001511F8" w:rsidRDefault="00000000">
      <w:r>
        <w:lastRenderedPageBreak/>
        <w:t>Holtzman, A., Buys, J., Du, L., Forbes, M., &amp; Choi, Y. (2020). The curious case of neural text degeneration. In International Conference on Learning Representations (ICLR). https://arxiv.org/abs/1904.09751</w:t>
      </w:r>
    </w:p>
    <w:p w14:paraId="717845F7" w14:textId="77777777" w:rsidR="001511F8" w:rsidRDefault="00000000">
      <w:r>
        <w:t>Ji, Z., Lee, N., Frieske, R., Yu, T., Su, D., Xu, Y., Ishii, E., Bang, Y. J., Madotto, A., &amp; Fung, P. (2023). Survey of hallucination in natural language generation. ACM Computing Surveys, 55(12), Article 248. https://doi.org/10.1145/3571730</w:t>
      </w:r>
    </w:p>
    <w:p w14:paraId="2E211AC7" w14:textId="77777777" w:rsidR="001511F8" w:rsidRDefault="00000000">
      <w:r>
        <w:t>Gao, Y., Xiong, Y., Gao, X., Jia, K., Pan, J., Bi, Y., Dai, Y., Sun, J., Wang, M., &amp; Wang, H. (2024). Retrieval-augmented generation for large language models: A survey. arXiv. https://arxiv.org/abs/2312.10997</w:t>
      </w:r>
    </w:p>
    <w:p w14:paraId="470D1C7C" w14:textId="77777777" w:rsidR="001511F8" w:rsidRDefault="00000000">
      <w:r>
        <w:t>Wei, J., Wang, X., Schuurmans, D., Bosma, M., Ichter, B., Xia, F., Chi, E. H., Le, Q. V., &amp; Zhou, D. (2022). Chain-of-thought prompting elicits reasoning in large language models. Advances in Neural Information Processing Systems, 35, 24824–24837. https://arxiv.org/abs/2201.11903</w:t>
      </w:r>
    </w:p>
    <w:p w14:paraId="5D0A92DE" w14:textId="77777777" w:rsidR="001511F8" w:rsidRDefault="00000000">
      <w:r>
        <w:t>European Parliament and Council of the European Union. (2024). Regulation (EU) 2024/1689 of the European Parliament and of the Council of 13 June 2024 laying down harmonised rules on artificial intelligence (Artificial Intelligence Act). Official Journal of the European Union, L, 2024/1689. http://data.europa.eu/eli/reg/2024/1689/oj</w:t>
      </w:r>
    </w:p>
    <w:p w14:paraId="79B135F9" w14:textId="77777777" w:rsidR="001511F8" w:rsidRDefault="00000000">
      <w:r>
        <w:t>Veale, M., &amp; Zuiderveen Borgesius, F. (2021). Demystifying the draft EU Artificial Intelligence Act: Analysing the good, the bad, and the unclear elements of the proposed approach. Computer Law Review International, 22(4), 97–112. https://doi.org/10.9785/cri-2021-220402</w:t>
      </w:r>
    </w:p>
    <w:p w14:paraId="1E707DCE" w14:textId="77777777" w:rsidR="001511F8" w:rsidRDefault="00000000">
      <w:r>
        <w:t>Hacker, P., Engel, A., &amp; Mauer, M. (2023). Regulating ChatGPT and other large generative AI models. In Proceedings of the 2023 ACM Conference on Fairness, Accountability, and Transparency (FAccT ’23) (pp. 1112–1123). Association for Computing Machinery. https://doi.org/10.1145/3593013.3594067</w:t>
      </w:r>
    </w:p>
    <w:p w14:paraId="5C97147C" w14:textId="77777777" w:rsidR="001511F8" w:rsidRDefault="00000000">
      <w:r>
        <w:t>Edwards, L. (2022). Expert explainer: The EU AI Act — A summary of its significance and scope. Ada Lovelace Institute. https://www.adalovelaceinstitute.org/resource/eu-ai-act-explainer/</w:t>
      </w:r>
    </w:p>
    <w:p w14:paraId="2AF9D248" w14:textId="77777777" w:rsidR="001511F8" w:rsidRDefault="00000000">
      <w:r>
        <w:t>European Parliament and Council of the European Union. (2016). Regulation (EU) 2016/679 of the European Parliament and of the Council of 27 April 2016 on the protection of natural persons with regard to the processing of personal data and on the free movement of such data (General Data Protection Regulation). Official Journal of the European Union, L 119, 1–88. http://data.europa.eu/eli/reg/2016/679/oj</w:t>
      </w:r>
    </w:p>
    <w:p w14:paraId="4D04E9F3" w14:textId="77777777" w:rsidR="001511F8" w:rsidRDefault="00000000">
      <w:r>
        <w:t>Tambe, P., Cappelli, P., &amp; Yakubovich, V. (2019). Artificial intelligence in human resources management: Challenges and a path forward. California Management Review, 61(4), 15–42. https://doi.org/10.1177/0008125619867910</w:t>
      </w:r>
    </w:p>
    <w:p w14:paraId="508FE84B" w14:textId="77777777" w:rsidR="001511F8" w:rsidRDefault="00000000">
      <w:r>
        <w:lastRenderedPageBreak/>
        <w:t>Vrontis, D., Christofi, M., Pereira, V., Tarba, S., Makrides, A., &amp; Trichina, E. (2022). Artificial intelligence, robotics, advanced technologies and human resource management: A systematic review. The International Journal of Human Resource Management, 33(6), 1237–1266. https://doi.org/10.1080/09585192.2020.1871398</w:t>
      </w:r>
    </w:p>
    <w:p w14:paraId="3BCF56FE" w14:textId="77777777" w:rsidR="001511F8" w:rsidRDefault="00000000">
      <w:r>
        <w:t>OpenAI. (2024). New embedding models and API updates. https://openai.com/index/new-embedding-models-and-api-updates/</w:t>
      </w:r>
    </w:p>
    <w:p w14:paraId="1C492EA2" w14:textId="77777777" w:rsidR="001511F8" w:rsidRDefault="00000000">
      <w:r>
        <w:t>OpenAI. (n.d.). API Reference — Chat Completions: temperature. https://platform.openai.com/docs/api-reference/chat/create#chat-create-temperature</w:t>
      </w:r>
    </w:p>
    <w:p w14:paraId="3E8EC6F5" w14:textId="77777777" w:rsidR="001511F8" w:rsidRDefault="00000000">
      <w:r>
        <w:t>pgvector. (2024). Open-source vector similarity search for Postgres. https://github.com/pgvector/pgvector</w:t>
      </w:r>
    </w:p>
    <w:p w14:paraId="06737123" w14:textId="77777777" w:rsidR="001511F8" w:rsidRDefault="00000000">
      <w:r>
        <w:t>Supabase. (2024). AI &amp; Vectors documentation. https://supabase.com/docs/guides/ai</w:t>
      </w:r>
    </w:p>
    <w:p w14:paraId="15C7EDCF" w14:textId="77777777" w:rsidR="001511F8" w:rsidRDefault="00000000">
      <w:r>
        <w:t>n8n. (2024). n8n documentation. https://docs.n8n.io</w:t>
      </w:r>
    </w:p>
    <w:sectPr w:rsidR="001511F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322"/>
    <w:multiLevelType w:val="multilevel"/>
    <w:tmpl w:val="D340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FC6EF0"/>
    <w:multiLevelType w:val="multilevel"/>
    <w:tmpl w:val="8260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AE07C4"/>
    <w:multiLevelType w:val="multilevel"/>
    <w:tmpl w:val="4F26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495CE7"/>
    <w:multiLevelType w:val="multilevel"/>
    <w:tmpl w:val="96E6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5C2C9B"/>
    <w:multiLevelType w:val="multilevel"/>
    <w:tmpl w:val="FB4E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E74672"/>
    <w:multiLevelType w:val="multilevel"/>
    <w:tmpl w:val="893C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3B6A90"/>
    <w:multiLevelType w:val="multilevel"/>
    <w:tmpl w:val="EBA6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755919"/>
    <w:multiLevelType w:val="multilevel"/>
    <w:tmpl w:val="C048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5D48EE"/>
    <w:multiLevelType w:val="multilevel"/>
    <w:tmpl w:val="4456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E11482"/>
    <w:multiLevelType w:val="multilevel"/>
    <w:tmpl w:val="C868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AE5A43"/>
    <w:multiLevelType w:val="multilevel"/>
    <w:tmpl w:val="ED1E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5D56E1"/>
    <w:multiLevelType w:val="multilevel"/>
    <w:tmpl w:val="6C3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E849A2"/>
    <w:multiLevelType w:val="multilevel"/>
    <w:tmpl w:val="1504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0F0AFE"/>
    <w:multiLevelType w:val="multilevel"/>
    <w:tmpl w:val="DA90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3666D3"/>
    <w:multiLevelType w:val="multilevel"/>
    <w:tmpl w:val="111A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AD3F9D"/>
    <w:multiLevelType w:val="multilevel"/>
    <w:tmpl w:val="601A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51611B"/>
    <w:multiLevelType w:val="multilevel"/>
    <w:tmpl w:val="4E1A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536EBC"/>
    <w:multiLevelType w:val="multilevel"/>
    <w:tmpl w:val="CBC4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B42EF1"/>
    <w:multiLevelType w:val="multilevel"/>
    <w:tmpl w:val="1218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FE17B4"/>
    <w:multiLevelType w:val="multilevel"/>
    <w:tmpl w:val="21BE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9421FF"/>
    <w:multiLevelType w:val="multilevel"/>
    <w:tmpl w:val="E3FC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6D91123"/>
    <w:multiLevelType w:val="multilevel"/>
    <w:tmpl w:val="1C7E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B0935ED"/>
    <w:multiLevelType w:val="multilevel"/>
    <w:tmpl w:val="EF5C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E0353A8"/>
    <w:multiLevelType w:val="multilevel"/>
    <w:tmpl w:val="32AA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12424B"/>
    <w:multiLevelType w:val="multilevel"/>
    <w:tmpl w:val="18A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7F156EF"/>
    <w:multiLevelType w:val="multilevel"/>
    <w:tmpl w:val="AB16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84E45A7"/>
    <w:multiLevelType w:val="multilevel"/>
    <w:tmpl w:val="C532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8A022B8"/>
    <w:multiLevelType w:val="multilevel"/>
    <w:tmpl w:val="4190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A2B39E5"/>
    <w:multiLevelType w:val="multilevel"/>
    <w:tmpl w:val="790C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D7164E9"/>
    <w:multiLevelType w:val="multilevel"/>
    <w:tmpl w:val="1E3A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BA0837"/>
    <w:multiLevelType w:val="multilevel"/>
    <w:tmpl w:val="93BC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48B3E54"/>
    <w:multiLevelType w:val="multilevel"/>
    <w:tmpl w:val="DF2C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E752972"/>
    <w:multiLevelType w:val="multilevel"/>
    <w:tmpl w:val="6016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FE9677F"/>
    <w:multiLevelType w:val="multilevel"/>
    <w:tmpl w:val="99D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01E45F8"/>
    <w:multiLevelType w:val="multilevel"/>
    <w:tmpl w:val="E18E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11E3872"/>
    <w:multiLevelType w:val="multilevel"/>
    <w:tmpl w:val="3BEC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2D33CD3"/>
    <w:multiLevelType w:val="multilevel"/>
    <w:tmpl w:val="5AAA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3D312EE"/>
    <w:multiLevelType w:val="multilevel"/>
    <w:tmpl w:val="CA30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4BE328C"/>
    <w:multiLevelType w:val="multilevel"/>
    <w:tmpl w:val="A4B0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96423DF"/>
    <w:multiLevelType w:val="multilevel"/>
    <w:tmpl w:val="9C3C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EE379D7"/>
    <w:multiLevelType w:val="multilevel"/>
    <w:tmpl w:val="1324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0CD6AF5"/>
    <w:multiLevelType w:val="multilevel"/>
    <w:tmpl w:val="03C2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2063B7F"/>
    <w:multiLevelType w:val="multilevel"/>
    <w:tmpl w:val="7F68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3B312F6"/>
    <w:multiLevelType w:val="multilevel"/>
    <w:tmpl w:val="14AA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4C23CFF"/>
    <w:multiLevelType w:val="multilevel"/>
    <w:tmpl w:val="6CAE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58C778E"/>
    <w:multiLevelType w:val="multilevel"/>
    <w:tmpl w:val="B26A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A7308C0"/>
    <w:multiLevelType w:val="multilevel"/>
    <w:tmpl w:val="B070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B7359F2"/>
    <w:multiLevelType w:val="multilevel"/>
    <w:tmpl w:val="B2D6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BB9791A"/>
    <w:multiLevelType w:val="multilevel"/>
    <w:tmpl w:val="50F4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BE46629"/>
    <w:multiLevelType w:val="multilevel"/>
    <w:tmpl w:val="2390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C095E9E"/>
    <w:multiLevelType w:val="multilevel"/>
    <w:tmpl w:val="487E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E145395"/>
    <w:multiLevelType w:val="multilevel"/>
    <w:tmpl w:val="A198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E742783"/>
    <w:multiLevelType w:val="multilevel"/>
    <w:tmpl w:val="1220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EE81683"/>
    <w:multiLevelType w:val="multilevel"/>
    <w:tmpl w:val="8B9A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0314F7E"/>
    <w:multiLevelType w:val="multilevel"/>
    <w:tmpl w:val="A0A0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12E4E1F"/>
    <w:multiLevelType w:val="multilevel"/>
    <w:tmpl w:val="8886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18D7EA2"/>
    <w:multiLevelType w:val="multilevel"/>
    <w:tmpl w:val="C042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2364223"/>
    <w:multiLevelType w:val="multilevel"/>
    <w:tmpl w:val="08FE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31A7CC8"/>
    <w:multiLevelType w:val="multilevel"/>
    <w:tmpl w:val="D16E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65A203C"/>
    <w:multiLevelType w:val="multilevel"/>
    <w:tmpl w:val="894E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78E514C"/>
    <w:multiLevelType w:val="multilevel"/>
    <w:tmpl w:val="3386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C466E12"/>
    <w:multiLevelType w:val="multilevel"/>
    <w:tmpl w:val="06F8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F622B18"/>
    <w:multiLevelType w:val="multilevel"/>
    <w:tmpl w:val="EB12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9592088">
    <w:abstractNumId w:val="38"/>
  </w:num>
  <w:num w:numId="2" w16cid:durableId="2003504794">
    <w:abstractNumId w:val="29"/>
  </w:num>
  <w:num w:numId="3" w16cid:durableId="810245465">
    <w:abstractNumId w:val="39"/>
  </w:num>
  <w:num w:numId="4" w16cid:durableId="2064329866">
    <w:abstractNumId w:val="60"/>
  </w:num>
  <w:num w:numId="5" w16cid:durableId="611321956">
    <w:abstractNumId w:val="45"/>
  </w:num>
  <w:num w:numId="6" w16cid:durableId="1219634787">
    <w:abstractNumId w:val="21"/>
  </w:num>
  <w:num w:numId="7" w16cid:durableId="914512798">
    <w:abstractNumId w:val="48"/>
  </w:num>
  <w:num w:numId="8" w16cid:durableId="42481626">
    <w:abstractNumId w:val="6"/>
  </w:num>
  <w:num w:numId="9" w16cid:durableId="752624285">
    <w:abstractNumId w:val="20"/>
  </w:num>
  <w:num w:numId="10" w16cid:durableId="948245271">
    <w:abstractNumId w:val="18"/>
  </w:num>
  <w:num w:numId="11" w16cid:durableId="448939402">
    <w:abstractNumId w:val="17"/>
  </w:num>
  <w:num w:numId="12" w16cid:durableId="1411076406">
    <w:abstractNumId w:val="61"/>
  </w:num>
  <w:num w:numId="13" w16cid:durableId="1598908382">
    <w:abstractNumId w:val="36"/>
  </w:num>
  <w:num w:numId="14" w16cid:durableId="1883518958">
    <w:abstractNumId w:val="49"/>
  </w:num>
  <w:num w:numId="15" w16cid:durableId="1805000786">
    <w:abstractNumId w:val="59"/>
  </w:num>
  <w:num w:numId="16" w16cid:durableId="1658149156">
    <w:abstractNumId w:val="13"/>
  </w:num>
  <w:num w:numId="17" w16cid:durableId="631792959">
    <w:abstractNumId w:val="58"/>
  </w:num>
  <w:num w:numId="18" w16cid:durableId="143815643">
    <w:abstractNumId w:val="42"/>
  </w:num>
  <w:num w:numId="19" w16cid:durableId="2052069791">
    <w:abstractNumId w:val="50"/>
  </w:num>
  <w:num w:numId="20" w16cid:durableId="788082957">
    <w:abstractNumId w:val="40"/>
  </w:num>
  <w:num w:numId="21" w16cid:durableId="1810787020">
    <w:abstractNumId w:val="54"/>
  </w:num>
  <w:num w:numId="22" w16cid:durableId="1165782179">
    <w:abstractNumId w:val="47"/>
  </w:num>
  <w:num w:numId="23" w16cid:durableId="2058233551">
    <w:abstractNumId w:val="57"/>
  </w:num>
  <w:num w:numId="24" w16cid:durableId="162862130">
    <w:abstractNumId w:val="15"/>
  </w:num>
  <w:num w:numId="25" w16cid:durableId="261112664">
    <w:abstractNumId w:val="2"/>
  </w:num>
  <w:num w:numId="26" w16cid:durableId="728384848">
    <w:abstractNumId w:val="35"/>
  </w:num>
  <w:num w:numId="27" w16cid:durableId="1951081840">
    <w:abstractNumId w:val="32"/>
  </w:num>
  <w:num w:numId="28" w16cid:durableId="955255558">
    <w:abstractNumId w:val="0"/>
  </w:num>
  <w:num w:numId="29" w16cid:durableId="1720131482">
    <w:abstractNumId w:val="9"/>
  </w:num>
  <w:num w:numId="30" w16cid:durableId="1616252418">
    <w:abstractNumId w:val="5"/>
  </w:num>
  <w:num w:numId="31" w16cid:durableId="824316919">
    <w:abstractNumId w:val="7"/>
  </w:num>
  <w:num w:numId="32" w16cid:durableId="665134325">
    <w:abstractNumId w:val="22"/>
  </w:num>
  <w:num w:numId="33" w16cid:durableId="1392266877">
    <w:abstractNumId w:val="10"/>
  </w:num>
  <w:num w:numId="34" w16cid:durableId="217742994">
    <w:abstractNumId w:val="44"/>
  </w:num>
  <w:num w:numId="35" w16cid:durableId="1993559278">
    <w:abstractNumId w:val="51"/>
  </w:num>
  <w:num w:numId="36" w16cid:durableId="719288788">
    <w:abstractNumId w:val="3"/>
  </w:num>
  <w:num w:numId="37" w16cid:durableId="1864127097">
    <w:abstractNumId w:val="11"/>
  </w:num>
  <w:num w:numId="38" w16cid:durableId="1444880995">
    <w:abstractNumId w:val="23"/>
  </w:num>
  <w:num w:numId="39" w16cid:durableId="799424068">
    <w:abstractNumId w:val="55"/>
  </w:num>
  <w:num w:numId="40" w16cid:durableId="1577087428">
    <w:abstractNumId w:val="52"/>
  </w:num>
  <w:num w:numId="41" w16cid:durableId="976032161">
    <w:abstractNumId w:val="26"/>
  </w:num>
  <w:num w:numId="42" w16cid:durableId="629866894">
    <w:abstractNumId w:val="56"/>
  </w:num>
  <w:num w:numId="43" w16cid:durableId="166868370">
    <w:abstractNumId w:val="33"/>
  </w:num>
  <w:num w:numId="44" w16cid:durableId="1031421487">
    <w:abstractNumId w:val="41"/>
  </w:num>
  <w:num w:numId="45" w16cid:durableId="1863663236">
    <w:abstractNumId w:val="37"/>
  </w:num>
  <w:num w:numId="46" w16cid:durableId="2138640479">
    <w:abstractNumId w:val="12"/>
  </w:num>
  <w:num w:numId="47" w16cid:durableId="1390760039">
    <w:abstractNumId w:val="30"/>
  </w:num>
  <w:num w:numId="48" w16cid:durableId="1086343329">
    <w:abstractNumId w:val="25"/>
  </w:num>
  <w:num w:numId="49" w16cid:durableId="2019766219">
    <w:abstractNumId w:val="16"/>
  </w:num>
  <w:num w:numId="50" w16cid:durableId="914046779">
    <w:abstractNumId w:val="27"/>
  </w:num>
  <w:num w:numId="51" w16cid:durableId="1494956438">
    <w:abstractNumId w:val="1"/>
  </w:num>
  <w:num w:numId="52" w16cid:durableId="1430851077">
    <w:abstractNumId w:val="46"/>
  </w:num>
  <w:num w:numId="53" w16cid:durableId="726995947">
    <w:abstractNumId w:val="8"/>
  </w:num>
  <w:num w:numId="54" w16cid:durableId="911543838">
    <w:abstractNumId w:val="34"/>
  </w:num>
  <w:num w:numId="55" w16cid:durableId="133646401">
    <w:abstractNumId w:val="31"/>
  </w:num>
  <w:num w:numId="56" w16cid:durableId="60687531">
    <w:abstractNumId w:val="24"/>
  </w:num>
  <w:num w:numId="57" w16cid:durableId="1497305912">
    <w:abstractNumId w:val="28"/>
  </w:num>
  <w:num w:numId="58" w16cid:durableId="952706369">
    <w:abstractNumId w:val="62"/>
  </w:num>
  <w:num w:numId="59" w16cid:durableId="504053363">
    <w:abstractNumId w:val="53"/>
  </w:num>
  <w:num w:numId="60" w16cid:durableId="517735037">
    <w:abstractNumId w:val="4"/>
  </w:num>
  <w:num w:numId="61" w16cid:durableId="1637877660">
    <w:abstractNumId w:val="14"/>
  </w:num>
  <w:num w:numId="62" w16cid:durableId="1730881157">
    <w:abstractNumId w:val="19"/>
  </w:num>
  <w:num w:numId="63" w16cid:durableId="945190751">
    <w:abstractNumId w:val="4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B69"/>
    <w:rsid w:val="0000329E"/>
    <w:rsid w:val="001511F8"/>
    <w:rsid w:val="002039BD"/>
    <w:rsid w:val="004E1162"/>
    <w:rsid w:val="00666981"/>
    <w:rsid w:val="00A61B69"/>
    <w:rsid w:val="00B92B92"/>
    <w:rsid w:val="00CF7E8E"/>
    <w:rsid w:val="00D11E5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52F18"/>
  <w15:chartTrackingRefBased/>
  <w15:docId w15:val="{8216F069-AE16-4BFB-88B6-5D75F9008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61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61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61B6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61B6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61B6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61B6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61B6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61B6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61B6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61B6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61B6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61B6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61B6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61B6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61B6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61B6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61B6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61B69"/>
    <w:rPr>
      <w:rFonts w:eastAsiaTheme="majorEastAsia" w:cstheme="majorBidi"/>
      <w:color w:val="272727" w:themeColor="text1" w:themeTint="D8"/>
    </w:rPr>
  </w:style>
  <w:style w:type="paragraph" w:styleId="Titel">
    <w:name w:val="Title"/>
    <w:basedOn w:val="Standard"/>
    <w:next w:val="Standard"/>
    <w:link w:val="TitelZchn"/>
    <w:uiPriority w:val="10"/>
    <w:qFormat/>
    <w:rsid w:val="00A61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61B6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61B6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61B6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61B6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61B69"/>
    <w:rPr>
      <w:i/>
      <w:iCs/>
      <w:color w:val="404040" w:themeColor="text1" w:themeTint="BF"/>
    </w:rPr>
  </w:style>
  <w:style w:type="paragraph" w:styleId="Listenabsatz">
    <w:name w:val="List Paragraph"/>
    <w:basedOn w:val="Standard"/>
    <w:uiPriority w:val="34"/>
    <w:qFormat/>
    <w:rsid w:val="00A61B69"/>
    <w:pPr>
      <w:ind w:left="720"/>
      <w:contextualSpacing/>
    </w:pPr>
  </w:style>
  <w:style w:type="character" w:styleId="IntensiveHervorhebung">
    <w:name w:val="Intense Emphasis"/>
    <w:basedOn w:val="Absatz-Standardschriftart"/>
    <w:uiPriority w:val="21"/>
    <w:qFormat/>
    <w:rsid w:val="00A61B69"/>
    <w:rPr>
      <w:i/>
      <w:iCs/>
      <w:color w:val="0F4761" w:themeColor="accent1" w:themeShade="BF"/>
    </w:rPr>
  </w:style>
  <w:style w:type="paragraph" w:styleId="IntensivesZitat">
    <w:name w:val="Intense Quote"/>
    <w:basedOn w:val="Standard"/>
    <w:next w:val="Standard"/>
    <w:link w:val="IntensivesZitatZchn"/>
    <w:uiPriority w:val="30"/>
    <w:qFormat/>
    <w:rsid w:val="00A61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61B69"/>
    <w:rPr>
      <w:i/>
      <w:iCs/>
      <w:color w:val="0F4761" w:themeColor="accent1" w:themeShade="BF"/>
    </w:rPr>
  </w:style>
  <w:style w:type="character" w:styleId="IntensiverVerweis">
    <w:name w:val="Intense Reference"/>
    <w:basedOn w:val="Absatz-Standardschriftart"/>
    <w:uiPriority w:val="32"/>
    <w:qFormat/>
    <w:rsid w:val="00A61B69"/>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A61B69"/>
    <w:pPr>
      <w:spacing w:before="240" w:after="0" w:line="259" w:lineRule="auto"/>
      <w:outlineLvl w:val="9"/>
    </w:pPr>
    <w:rPr>
      <w:kern w:val="0"/>
      <w:sz w:val="32"/>
      <w:szCs w:val="32"/>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77011-CE0B-4480-B3B3-1EE21A881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3204</Words>
  <Characters>20187</Characters>
  <Application>Microsoft Office Word</Application>
  <DocSecurity>0</DocSecurity>
  <Lines>168</Lines>
  <Paragraphs>46</Paragraphs>
  <ScaleCrop>false</ScaleCrop>
  <HeadingPairs>
    <vt:vector size="2" baseType="variant">
      <vt:variant>
        <vt:lpstr>Titel</vt:lpstr>
      </vt:variant>
      <vt:variant>
        <vt:i4>1</vt:i4>
      </vt:variant>
    </vt:vector>
  </HeadingPairs>
  <TitlesOfParts>
    <vt:vector size="1" baseType="lpstr">
      <vt:lpstr>Aenderungsvorschlaege Projektdokumentation</vt:lpstr>
    </vt:vector>
  </TitlesOfParts>
  <Company/>
  <LinksUpToDate>false</LinksUpToDate>
  <CharactersWithSpaces>23345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Aenderungsvorschlaege Projektdokumentation</dc:title>
  <dc:subject>BergTech HR Knowledge Assistant</dc:subject>
  <dc:creator>Paar, Juliana</dc:creator>
  <dc:description>Persoenliche Arbeitsunterlage</dc:description>
  <cp:lastModifiedBy>Paar, Juliana</cp:lastModifiedBy>
  <cp:revision>3</cp:revision>
  <dcterms:created xsi:type="dcterms:W3CDTF">2026-05-30T18:00:00Z</dcterms:created>
  <dcterms:modified xsi:type="dcterms:W3CDTF">2026-05-30T21:04:00Z</dcterms:modified>
</cp:coreProperties>
</file>