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and Compliance Policy</w:t>
      </w:r>
    </w:p>
    <w:p>
      <w:r>
        <w:rPr>
          <w:i/>
          <w:sz w:val="18"/>
        </w:rPr>
        <w:t>DOKUMENTEN-METADATEN:</w:t>
        <w:br/>
        <w:t>Compliance-Rahmen, Geschenke, Schulungen, Integrität</w:t>
      </w:r>
    </w:p>
    <w:p>
      <w:pPr>
        <w:pStyle w:val="Heading1"/>
      </w:pPr>
      <w:r>
        <w:t>Compliance-Rahmen der BergTech</w:t>
      </w:r>
    </w:p>
    <w:p>
      <w:r>
        <w:t>Integrität und Rechtskonformität sind die Basis unseres Unternehmenserfolgs. Der Compliance-Rahmen der BergTech Maschinenbau GmbH stützt sich auf ein Drei-Säulen-Modell:</w:t>
      </w:r>
    </w:p>
    <w:p>
      <w:pPr>
        <w:pStyle w:val="ListBullet"/>
      </w:pPr>
      <w:r>
        <w:t>Prävention: Durch klare Richtlinien und regelmäßige Schulungen verhindern wir Verstöße, bevor sie entstehen.</w:t>
      </w:r>
    </w:p>
    <w:p>
      <w:pPr>
        <w:pStyle w:val="ListBullet"/>
      </w:pPr>
      <w:r>
        <w:t>Identifikation: Über ein internes Kontrollsystem (IKS) und eine anonyme Whistleblower-Hotline können Unregelmäßigkeiten gemeldet werden.</w:t>
      </w:r>
    </w:p>
    <w:p>
      <w:pPr>
        <w:pStyle w:val="ListBullet"/>
      </w:pPr>
      <w:r>
        <w:t>Reaktion: Festgestellte Verstöße werden konsequent sanktioniert, unabhängig von der Position des Beteiligten.</w:t>
      </w:r>
    </w:p>
    <w:p>
      <w:pPr>
        <w:pStyle w:val="Heading1"/>
      </w:pPr>
      <w:r>
        <w:t>Verhaltensregeln für Mitarbeiter</w:t>
      </w:r>
    </w:p>
    <w:p>
      <w:r>
        <w:t>Für alle Mitarbeiter der BergTech gelten folgende Kernpunkte als direkt handlungsrelevant:</w:t>
      </w:r>
    </w:p>
    <w:p>
      <w:pPr>
        <w:pStyle w:val="ListBullet"/>
      </w:pPr>
      <w:r>
        <w:t>Geschenke und Einladungen: Die Annahme von Geschenken oder Einladungen von Geschäftspartnern mit einem Sachwert von über 25,00 EUR ist strikt untersagt. Geringwertige Aufmerksamkeiten sind dem Vorgesetzten zu melden.</w:t>
      </w:r>
    </w:p>
    <w:p>
      <w:pPr>
        <w:pStyle w:val="ListBullet"/>
      </w:pPr>
      <w:r>
        <w:t>Interessenkonflikte: Nebentätigkeiten (auch ehrenamtlich, sofern zeitintensiv) müssen vor Aufnahme schriftlich durch HR genehmigt werden.</w:t>
      </w:r>
    </w:p>
    <w:p>
      <w:pPr>
        <w:pStyle w:val="ListBullet"/>
      </w:pPr>
      <w:r>
        <w:t>Umgang mit Betriebsgeheimnissen: Konstruktionszeichnungen und Kundenlisten unterliegen strengster Geheimhaltung und dürfen nicht auf privaten Cloud-Speichern abgelegt werden.</w:t>
      </w:r>
    </w:p>
    <w:p>
      <w:pPr>
        <w:pStyle w:val="Heading1"/>
      </w:pPr>
      <w:r>
        <w:t>Regelmäßiges Schulungscurriculum</w:t>
      </w:r>
    </w:p>
    <w:p>
      <w:r>
        <w:t>Zur Aufrechterhaltung der Compliance-Standards ist die Teilnahme an jährlichen Auffrischungskursen verpflichtend:</w:t>
      </w:r>
    </w:p>
    <w:p>
      <w:pPr>
        <w:pStyle w:val="ListBullet"/>
      </w:pPr>
      <w:r>
        <w:t>Anti-Korruption: Vertiefung zu Bestechung und Bestechlichkeit im geschäftlichen Verkehr (Turnus: jährlich).</w:t>
      </w:r>
    </w:p>
    <w:p>
      <w:pPr>
        <w:pStyle w:val="ListBullet"/>
      </w:pPr>
      <w:r>
        <w:t>Kartellrecht: Verhaltensregeln bei Treffen mit Wettbewerbern und Verbandsarbeit (Turnus: alle 2 Jahre).</w:t>
      </w:r>
    </w:p>
    <w:p>
      <w:pPr>
        <w:pStyle w:val="ListBullet"/>
      </w:pPr>
      <w:r>
        <w:t>Informationssicherheit: Aktuelle Bedrohungslagen wie Social Engineering und Ransomware (Turnus: jährlich).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