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VALUTX 2.0 — Product Requirements Document</w:t>
      </w:r>
    </w:p>
    <w:p>
      <w:pPr>
        <w:jc w:val="center"/>
      </w:pPr>
      <w:r>
        <w:rPr>
          <w:i/>
          <w:sz w:val="22"/>
        </w:rPr>
        <w:t>Functional, non-functional and acceptance requirements</w:t>
      </w:r>
    </w:p>
    <w:p>
      <w:pPr>
        <w:jc w:val="center"/>
      </w:pPr>
      <w:r>
        <w:rPr>
          <w:sz w:val="18"/>
        </w:rPr>
        <w:t>VALUTX 2.0 • Master Documentation Suite • October 2026</w:t>
      </w:r>
    </w:p>
    <w:p>
      <w:r>
        <w:br w:type="page"/>
      </w:r>
    </w:p>
    <w:p>
      <w:r>
        <w:rPr>
          <w:b/>
        </w:rPr>
        <w:t>Document Status</w:t>
        <w:br/>
      </w:r>
      <w:r>
        <w:t>Baseline architecture / implementation planning document</w:t>
        <w:br/>
      </w:r>
      <w:r>
        <w:t>Authority: VALUTX 2.0 Product &amp; Architecture Team</w:t>
        <w:br/>
      </w:r>
      <w:r>
        <w:t>Important: numerical targets labelled as examples/planning targets are not contractual until approved.</w:t>
      </w:r>
    </w:p>
    <w:p>
      <w:pPr>
        <w:pStyle w:val="Heading1"/>
      </w:pPr>
      <w:r>
        <w:t>1. Product Goals</w:t>
      </w:r>
    </w:p>
    <w:p>
      <w:r>
        <w:t>G1 — Enable users to perform real software-engineering tasks through governed agents.</w:t>
        <w:br/>
        <w:t>G2 — Make agent actions understandable, bounded, verifiable and reversible.</w:t>
        <w:br/>
        <w:t>G3 — Provide a safe cybersecurity workspace built around authorized scopes and isolated labs.</w:t>
        <w:br/>
        <w:t>G4 — Preserve useful functionality when cloud services or Internet access are unavailable.</w:t>
        <w:br/>
        <w:t>G5 — Establish a foundation for plugins, MCP, subagents, team policies and future cloud execution.</w:t>
      </w:r>
    </w:p>
    <w:p>
      <w:pPr>
        <w:pStyle w:val="Heading1"/>
      </w:pPr>
      <w:r>
        <w:t>2. Functional Requirements — Workspace</w:t>
      </w:r>
    </w:p>
    <w:p>
      <w:r>
        <w:t>FR-W01: User shall create/open a local project.</w:t>
        <w:br/>
        <w:t>FR-W02: User shall clone a Git repository.</w:t>
        <w:br/>
        <w:t>FR-W03: User shall browse and search repository files.</w:t>
        <w:br/>
        <w:t>FR-W04: User shall edit code and inspect diffs.</w:t>
        <w:br/>
        <w:t>FR-W05: User shall create branches, commit and revert.</w:t>
        <w:br/>
        <w:t>FR-W06: User shall view problems, tests, logs and terminal sessions.</w:t>
        <w:br/>
        <w:t>FR-W07: Workspace shall support repository trust states: untrusted, restricted, trusted.</w:t>
      </w:r>
    </w:p>
    <w:p>
      <w:pPr>
        <w:pStyle w:val="Heading1"/>
      </w:pPr>
      <w:r>
        <w:t>3. Functional Requirements — Agent</w:t>
      </w:r>
    </w:p>
    <w:p>
      <w:r>
        <w:t>FR-A01: User shall submit natural-language tasks.</w:t>
        <w:br/>
        <w:t>FR-A02: Agent shall produce a structured plan for configurable task classes.</w:t>
        <w:br/>
        <w:t>FR-A03: Agent shall identify required tools and permissions before execution.</w:t>
        <w:br/>
        <w:t>FR-A04: Agent shall route actions through the policy gateway.</w:t>
        <w:br/>
        <w:t>FR-A05: User shall approve, deny or modify sensitive actions.</w:t>
        <w:br/>
        <w:t>FR-A06: Agent shall execute in an isolated runtime when policy requires.</w:t>
        <w:br/>
        <w:t>FR-A07: Agent shall expose action status and evidence.</w:t>
        <w:br/>
        <w:t>FR-A08: Agent shall distinguish generated, executed, tested and verified states.</w:t>
        <w:br/>
        <w:t>FR-A09: Agent shall recover from failure through retry, escalation or rollback.</w:t>
        <w:br/>
        <w:t>FR-A10: Agent shall not directly access protected secrets.</w:t>
      </w:r>
    </w:p>
    <w:p>
      <w:pPr>
        <w:pStyle w:val="Heading1"/>
      </w:pPr>
      <w:r>
        <w:t>4. Functional Requirements — Cybersecurity</w:t>
      </w:r>
    </w:p>
    <w:p>
      <w:r>
        <w:t>FR-C01: User shall create an explicit authorized security scope.</w:t>
        <w:br/>
        <w:t>FR-C02: Active security operations shall be blocked outside scope.</w:t>
        <w:br/>
        <w:t>FR-C03: Cyber tools shall have Tool Passports.</w:t>
        <w:br/>
        <w:t>FR-C04: User shall see risk and expected impact before high-risk actions.</w:t>
        <w:br/>
        <w:t>FR-C05: Kali environment shall run in an isolated lab/runtime.</w:t>
        <w:br/>
        <w:t>FR-C06: Findings shall retain evidence and reproducibility information.</w:t>
        <w:br/>
        <w:t>FR-C07: Security remediation shall support retesting.</w:t>
        <w:br/>
        <w:t>FR-C08: Public-internet offensive workflows shall be disabled by default.</w:t>
      </w:r>
    </w:p>
    <w:p>
      <w:pPr>
        <w:pStyle w:val="Heading1"/>
      </w:pPr>
      <w:r>
        <w:t>5. Functional Requirements — Offline</w:t>
      </w:r>
    </w:p>
    <w:p>
      <w:r>
        <w:t>FR-O01: Core UI shall open without cloud connectivity.</w:t>
        <w:br/>
        <w:t>FR-O02: Local repositories shall remain usable offline.</w:t>
        <w:br/>
        <w:t>FR-O03: Local model adapters shall be supported.</w:t>
        <w:br/>
        <w:t>FR-O04: Local embeddings/vector search shall be supported.</w:t>
        <w:br/>
        <w:t>FR-O05: Cached documentation shall remain searchable.</w:t>
        <w:br/>
        <w:t>FR-O06: Offline mode shall clearly identify unavailable cloud-dependent actions.</w:t>
      </w:r>
    </w:p>
    <w:p>
      <w:pPr>
        <w:pStyle w:val="Heading1"/>
      </w:pPr>
      <w:r>
        <w:t>6. Functional Requirements — Plugins/MCP</w:t>
      </w:r>
    </w:p>
    <w:p>
      <w:r>
        <w:t>FR-P01: Plugins shall declare permissions.</w:t>
        <w:br/>
        <w:t>FR-P02: MCP servers shall pass a security review gateway before use.</w:t>
        <w:br/>
        <w:t>FR-P03: Tool access shall be individually policy-controlled.</w:t>
        <w:br/>
        <w:t>FR-P04: Plugin versions shall be pinned or governed by policy.</w:t>
        <w:br/>
        <w:t>FR-P05: Users/admins shall be able to disable a plugin or tool immediately.</w:t>
      </w:r>
    </w:p>
    <w:p>
      <w:pPr>
        <w:pStyle w:val="Heading1"/>
      </w:pPr>
      <w:r>
        <w:t>7. Non-Functional Requirements</w:t>
      </w:r>
    </w:p>
    <w:p>
      <w:r>
        <w:t>Security: least privilege, secure defaults, encrypted secrets, isolated execution, auditable actions.</w:t>
        <w:br/>
        <w:t>Reliability: graceful degradation and recovery from failed agent actions.</w:t>
        <w:br/>
        <w:t>Performance: interactive UI should remain responsive while agent jobs run asynchronously.</w:t>
        <w:br/>
        <w:t>Privacy: clear data-routing controls and local-only mode.</w:t>
        <w:br/>
        <w:t>Accessibility: keyboard navigation, screen-reader semantics, contrast and focus visibility.</w:t>
        <w:br/>
        <w:t>Maintainability: modular runtime, typed protocols, automated tests and versioned schemas.</w:t>
        <w:br/>
        <w:t>Portability: Windows, Linux and macOS should be considered in architecture decisions; exact sandbox mechanisms may differ by OS.</w:t>
      </w:r>
    </w:p>
    <w:p>
      <w:pPr>
        <w:pStyle w:val="Heading1"/>
      </w:pPr>
      <w:r>
        <w:t>8. Acceptance Criteria</w:t>
      </w:r>
    </w:p>
    <w:p>
      <w:r>
        <w:t>A release feature is accepted only when its happy path, failure path, security boundary, audit behavior, offline behavior where applicable, and rollback/recovery behavior are tested. Security-sensitive features additionally require adversarial tests.</w:t>
      </w:r>
    </w:p>
    <w:p>
      <w:pPr>
        <w:pStyle w:val="Heading1"/>
      </w:pPr>
      <w:r>
        <w:t>9. Product Analytics</w:t>
      </w:r>
    </w:p>
    <w:p>
      <w:r>
        <w:t>Measure task completion, verification success, action latency, approval burden, rollback frequency, tool failures, security blocks, false positives, prompt-injection resistance, offline success rate, crash-free sessions and resource consumption. Do not collect source code or secrets as telemetry.</w:t>
      </w:r>
    </w:p>
    <w:p>
      <w:r>
        <w:br w:type="page"/>
      </w:r>
    </w:p>
    <w:p>
      <w:pPr>
        <w:pStyle w:val="Heading1"/>
      </w:pPr>
      <w:r>
        <w:t>Appendix — Cross-Document Governance</w:t>
      </w:r>
    </w:p>
    <w:p>
      <w:r>
        <w:t>All VALUTX documents share the same source-of-truth principles: secure-by-default execution, least privilege, explicit scope for cybersecurity actions, model-provider independence, verification before completion, auditable evidence, and reversible changes. When documents conflict, the Security &amp; Access Control and Technical Architecture documents govern implementation constraints; the PRD governs product behavior; the Runbook governs operational release procedures.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