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VALUTX 2.0 — Technical Architecture Document</w:t>
      </w:r>
    </w:p>
    <w:p>
      <w:pPr>
        <w:jc w:val="center"/>
      </w:pPr>
      <w:r>
        <w:rPr>
          <w:i/>
          <w:sz w:val="22"/>
        </w:rPr>
        <w:t>System architecture, components, protocols and infrastructure</w:t>
      </w:r>
    </w:p>
    <w:p>
      <w:pPr>
        <w:jc w:val="center"/>
      </w:pPr>
      <w:r>
        <w:rPr>
          <w:sz w:val="18"/>
        </w:rPr>
        <w:t>VALUTX 2.0 • Master Documentation Suite • October 2026</w:t>
      </w:r>
    </w:p>
    <w:p>
      <w:r>
        <w:br w:type="page"/>
      </w:r>
    </w:p>
    <w:p>
      <w:r>
        <w:rPr>
          <w:b/>
        </w:rPr>
        <w:t>Document Status</w:t>
        <w:br/>
      </w:r>
      <w:r>
        <w:t>Baseline architecture / implementation planning document</w:t>
        <w:br/>
      </w:r>
      <w:r>
        <w:t>Authority: VALUTX 2.0 Product &amp; Architecture Team</w:t>
        <w:br/>
      </w:r>
      <w:r>
        <w:t>Important: numerical targets labelled as examples/planning targets are not contractual until approved.</w:t>
      </w:r>
    </w:p>
    <w:p>
      <w:pPr>
        <w:pStyle w:val="Heading1"/>
      </w:pPr>
      <w:r>
        <w:t>1. Architectural Principles</w:t>
      </w:r>
    </w:p>
    <w:p>
      <w:r>
        <w:t>The architecture follows separation of concerns, least privilege, local-first execution, explicit policy enforcement, zero-trust tool access, immutable-ish audit trails, reproducibility, reversible operations, and provider/model independence.</w:t>
      </w:r>
    </w:p>
    <w:p>
      <w:pPr>
        <w:pStyle w:val="Heading1"/>
      </w:pPr>
      <w:r>
        <w:t>2. High-Level Architecture</w:t>
      </w:r>
    </w:p>
    <w:p>
      <w:r>
        <w:t>UI clients communicate with a local runtime through authenticated local IPC. The runtime contains the orchestrator, context engine, policy gateway, process manager, sandbox adapter, secret broker, tool registry, verifier and audit subsystem. Cloud services are optional and must never be required for the secure local execution path.</w:t>
      </w:r>
    </w:p>
    <w:p>
      <w:pPr>
        <w:pStyle w:val="Heading1"/>
      </w:pPr>
      <w:r>
        <w:t>3. Core Components</w:t>
      </w:r>
    </w:p>
    <w:p>
      <w:r>
        <w:t>Desktop shell: Tauri 2 with React/TypeScript.</w:t>
        <w:br/>
        <w:t>Editor: Monaco or equivalent.</w:t>
        <w:br/>
        <w:t>Terminal: xterm.js + native PTY service.</w:t>
        <w:br/>
        <w:t>Runtime/security core: Rust.</w:t>
        <w:br/>
        <w:t>Agent services: TypeScript/Python.</w:t>
        <w:br/>
        <w:t>Local state: SQLite.</w:t>
        <w:br/>
        <w:t>Vector/RAG layer: SQLite vector extension, LanceDB or Qdrant depending scale.</w:t>
        <w:br/>
        <w:t>Git: native Git and/or libgit2.</w:t>
        <w:br/>
        <w:t>Code intelligence: Tree-sitter + LSP.</w:t>
        <w:br/>
        <w:t>Observability: OpenTelemetry-compatible events.</w:t>
        <w:br/>
        <w:t>Cloud control plane: optional PostgreSQL/Supabase or equivalent.</w:t>
      </w:r>
    </w:p>
    <w:p>
      <w:pPr>
        <w:pStyle w:val="Heading1"/>
      </w:pPr>
      <w:r>
        <w:t>4. Agent Execution Pipeline</w:t>
      </w:r>
    </w:p>
    <w:p>
      <w:r>
        <w:t>User intent → intent normalization → context retrieval → plan generation → policy pre-check → tool selection → command/action generation → static safety checks → approval decision → sandbox execution → result parsing → verification → evidence packaging → audit record → final response.</w:t>
      </w:r>
    </w:p>
    <w:p>
      <w:r>
        <w:t>No model-generated command bypasses the policy gateway.</w:t>
      </w:r>
    </w:p>
    <w:p>
      <w:pPr>
        <w:pStyle w:val="Heading1"/>
      </w:pPr>
      <w:r>
        <w:t>5. IPC and Trust Boundaries</w:t>
      </w:r>
    </w:p>
    <w:p>
      <w:r>
        <w:t>The UI is not trusted to enforce security by itself. The runtime is the security authority. Privileged operations are exposed through narrow typed APIs. IPC requests contain caller identity, project identity, task identity, requested capability and policy context. The runtime validates all fields independently.</w:t>
      </w:r>
    </w:p>
    <w:p>
      <w:pPr>
        <w:pStyle w:val="Heading1"/>
      </w:pPr>
      <w:r>
        <w:t>6. Sandbox Architecture</w:t>
      </w:r>
    </w:p>
    <w:p>
      <w:r>
        <w:t>Use an adapter model so the same agent interface can target different isolation mechanisms. Linux may use containers/namespaces/seccomp/AppArmor plus a VM option for stronger isolation. Windows may use Windows Sandbox/Hyper-V/WSL2 depending task requirements. macOS may use virtualization/container mechanisms appropriate to the required isolation. Security-critical assumptions must be validated per OS.</w:t>
      </w:r>
    </w:p>
    <w:p>
      <w:pPr>
        <w:pStyle w:val="Heading1"/>
      </w:pPr>
      <w:r>
        <w:t>7. Network Architecture</w:t>
      </w:r>
    </w:p>
    <w:p>
      <w:r>
        <w:t>Security-sensitive execution should pass through an egress-control layer. Policies can permit none, localhost, approved CIDRs/domains, lab networks or explicitly approved external destinations. DNS and connection events should be observable. Network restrictions must be enforced outside the model.</w:t>
      </w:r>
    </w:p>
    <w:p>
      <w:pPr>
        <w:pStyle w:val="Heading1"/>
      </w:pPr>
      <w:r>
        <w:t>8. Context Engine</w:t>
      </w:r>
    </w:p>
    <w:p>
      <w:r>
        <w:t>Build repository maps using file trees, ASTs, symbols, dependencies, Git history, tests and semantic retrieval. Context selection should include relevance explanations, stale-context detection and token-budget management.</w:t>
      </w:r>
    </w:p>
    <w:p>
      <w:pPr>
        <w:pStyle w:val="Heading1"/>
      </w:pPr>
      <w:r>
        <w:t>9. Model Router</w:t>
      </w:r>
    </w:p>
    <w:p>
      <w:r>
        <w:t>Expose a provider-neutral interface supporting local models and cloud models such as Gemini when configured. Routing should consider task complexity, latency, privacy, cost and availability. Sensitive local-only projects must be able to prohibit cloud inference.</w:t>
      </w:r>
    </w:p>
    <w:p>
      <w:pPr>
        <w:pStyle w:val="Heading1"/>
      </w:pPr>
      <w:r>
        <w:t>10. Data Storage</w:t>
      </w:r>
    </w:p>
    <w:p>
      <w:r>
        <w:t>Local SQLite stores project metadata, policies, agent runs and audit references. Large artifacts can be stored in content-addressed directories. Secrets are stored through OS credential facilities or an encrypted vault rather than normal database fields. Cloud data should be minimized and explicitly scoped.</w:t>
      </w:r>
    </w:p>
    <w:p>
      <w:pPr>
        <w:pStyle w:val="Heading1"/>
      </w:pPr>
      <w:r>
        <w:t>11. Tool Protocol</w:t>
      </w:r>
    </w:p>
    <w:p>
      <w:r>
        <w:t>Every tool has a machine-readable capability manifest and Tool Passport. Tool calls include task ID, agent ID, project, requested capability, risk class, scope, parameters, approval state, execution environment and evidence references.</w:t>
      </w:r>
    </w:p>
    <w:p>
      <w:pPr>
        <w:pStyle w:val="Heading1"/>
      </w:pPr>
      <w:r>
        <w:t>12. Failure Handling</w:t>
      </w:r>
    </w:p>
    <w:p>
      <w:r>
        <w:t>The runtime must classify failures as model failure, tool failure, policy denial, environment failure, timeout, dependency failure, verification failure or security violation. Each class has a controlled recovery strategy. Repeated failure should escalate rather than loop indefinitely.</w:t>
      </w:r>
    </w:p>
    <w:p>
      <w:pPr>
        <w:pStyle w:val="Heading1"/>
      </w:pPr>
      <w:r>
        <w:t>13. Extensibility</w:t>
      </w:r>
    </w:p>
    <w:p>
      <w:r>
        <w:t>MCP and future A2A integrations should be adapters behind the same policy gateway. Plugins must not gain privileges simply because they are installed. Plugin manifests, versioning, provenance and permissions are first-class metadata.</w:t>
      </w:r>
    </w:p>
    <w:p>
      <w:r>
        <w:br w:type="page"/>
      </w:r>
    </w:p>
    <w:p>
      <w:pPr>
        <w:pStyle w:val="Heading1"/>
      </w:pPr>
      <w:r>
        <w:t>Appendix — Cross-Document Governance</w:t>
      </w:r>
    </w:p>
    <w:p>
      <w:r>
        <w:t>All VALUTX documents share the same source-of-truth principles: secure-by-default execution, least privilege, explicit scope for cybersecurity actions, model-provider independence, verification before completion, auditable evidence, and reversible changes. When documents conflict, the Security &amp; Access Control and Technical Architecture documents govern implementation constraints; the PRD governs product behavior; the Runbook governs operational release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