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VALUTX 2.0 — Security &amp; Access Control Document</w:t>
      </w:r>
    </w:p>
    <w:p>
      <w:pPr>
        <w:jc w:val="center"/>
      </w:pPr>
      <w:r>
        <w:rPr>
          <w:i/>
          <w:sz w:val="22"/>
        </w:rPr>
        <w:t>Identity, authorization, secrets, isolation and governance</w:t>
      </w:r>
    </w:p>
    <w:p>
      <w:pPr>
        <w:jc w:val="center"/>
      </w:pPr>
      <w:r>
        <w:rPr>
          <w:sz w:val="18"/>
        </w:rPr>
        <w:t>VALUTX 2.0 • Master Documentation Suite • October 2026</w:t>
      </w:r>
    </w:p>
    <w:p>
      <w:r>
        <w:br w:type="page"/>
      </w:r>
    </w:p>
    <w:p>
      <w:r>
        <w:rPr>
          <w:b/>
        </w:rPr>
        <w:t>Document Status</w:t>
        <w:br/>
      </w:r>
      <w:r>
        <w:t>Baseline architecture / implementation planning document</w:t>
        <w:br/>
      </w:r>
      <w:r>
        <w:t>Authority: VALUTX 2.0 Product &amp; Architecture Team</w:t>
        <w:br/>
      </w:r>
      <w:r>
        <w:t>Important: numerical targets labelled as examples/planning targets are not contractual until approved.</w:t>
      </w:r>
    </w:p>
    <w:p>
      <w:pPr>
        <w:pStyle w:val="Heading1"/>
      </w:pPr>
      <w:r>
        <w:t>1. Security Objectives</w:t>
      </w:r>
    </w:p>
    <w:p>
      <w:r>
        <w:t>Protect source code, credentials, user data, operating system resources, network boundaries, agent integrity, plugin integrity and audit records. Prevent unauthorized actions even when the model, repository, tool, plugin or user instruction is malicious or compromised.</w:t>
      </w:r>
    </w:p>
    <w:p>
      <w:pPr>
        <w:pStyle w:val="Heading1"/>
      </w:pPr>
      <w:r>
        <w:t>2. Security Model</w:t>
      </w:r>
    </w:p>
    <w:p>
      <w:r>
        <w:t>VALUTX follows zero-trust principles. No model output, repository instruction, plugin description, MCP tool, or agent-to-agent message is inherently trusted. Authority comes from authenticated identity and policy evaluation.</w:t>
      </w:r>
    </w:p>
    <w:p>
      <w:pPr>
        <w:pStyle w:val="Heading1"/>
      </w:pPr>
      <w:r>
        <w:t>3. Authentication</w:t>
      </w:r>
    </w:p>
    <w:p>
      <w:r>
        <w:t>Support local user authentication and, for team deployments, OIDC/OAuth2 and MFA/passkeys where appropriate. Administrative actions should require step-up authentication. Session tokens must be short-lived and protected.</w:t>
      </w:r>
    </w:p>
    <w:p>
      <w:pPr>
        <w:pStyle w:val="Heading1"/>
      </w:pPr>
      <w:r>
        <w:t>4. Authorization</w:t>
      </w:r>
    </w:p>
    <w:p>
      <w:r>
        <w:t>Use RBAC for coarse organization roles and capability/attribute-based policies for fine-grained decisions. Authorize by user, agent, project, tool, resource, network destination, risk class and operation type.</w:t>
      </w:r>
    </w:p>
    <w:p>
      <w:pPr>
        <w:pStyle w:val="Heading1"/>
      </w:pPr>
      <w:r>
        <w:t>5. Roles</w:t>
      </w:r>
    </w:p>
    <w:p>
      <w:r>
        <w:t>Owner, Admin, Security Admin, Developer, Security Analyst, Researcher, Student, Viewer and Auditor are suggested starting roles. Organizations may customize roles while retaining capability-level enforcement.</w:t>
      </w:r>
    </w:p>
    <w:p>
      <w:pPr>
        <w:pStyle w:val="Heading1"/>
      </w:pPr>
      <w:r>
        <w:t>6. Agent Permissions</w:t>
      </w:r>
    </w:p>
    <w:p>
      <w:r>
        <w:t>Agents receive explicit capabilities such as repository.read, repository.write, terminal.execute, network.connect, secrets.use, cyber.scan, plugin.install and deploy.execute. Capabilities expire with the task unless deliberately granted by policy.</w:t>
      </w:r>
    </w:p>
    <w:p>
      <w:pPr>
        <w:pStyle w:val="Heading1"/>
      </w:pPr>
      <w:r>
        <w:t>7. Secret Management</w:t>
      </w:r>
    </w:p>
    <w:p>
      <w:r>
        <w:t>Secrets remain in an OS-backed or encrypted vault. Models receive references or brokered capabilities, not raw secret values. Logs, traces, screenshots and model prompts must apply secret redaction.</w:t>
      </w:r>
    </w:p>
    <w:p>
      <w:pPr>
        <w:pStyle w:val="Heading1"/>
      </w:pPr>
      <w:r>
        <w:t>8. Repository Trust</w:t>
      </w:r>
    </w:p>
    <w:p>
      <w:r>
        <w:t>New repositories enter restricted mode. Package lifecycle scripts, hooks, agent instructions, MCP configuration, CI scripts and infrastructure files are inspected before elevated execution is allowed.</w:t>
      </w:r>
    </w:p>
    <w:p>
      <w:pPr>
        <w:pStyle w:val="Heading1"/>
      </w:pPr>
      <w:r>
        <w:t>9. Security Controls</w:t>
      </w:r>
    </w:p>
    <w:p>
      <w:r>
        <w:t>Mandatory controls include sandboxing, egress filtering, least privilege, secure defaults, input validation, signed/verified artifacts where feasible, dependency scanning, audit logging, rate limiting, resource quotas, kill switches and rapid revocation.</w:t>
      </w:r>
    </w:p>
    <w:p>
      <w:pPr>
        <w:pStyle w:val="Heading1"/>
      </w:pPr>
      <w:r>
        <w:t>10. Security Operations</w:t>
      </w:r>
    </w:p>
    <w:p>
      <w:r>
        <w:t>All security-sensitive actions must record actor, agent, target scope, tool, operation, timestamp, approval, result and evidence. Logs should be protected from ordinary agent modification.</w:t>
      </w:r>
    </w:p>
    <w:p>
      <w:pPr>
        <w:pStyle w:val="Heading1"/>
      </w:pPr>
      <w:r>
        <w:t>11. Access Revocation</w:t>
      </w:r>
    </w:p>
    <w:p>
      <w:r>
        <w:t>Users/admins must be able to immediately revoke agent sessions, credentials, plugins, tools, network access and background workers. Revocation must terminate or isolate affected tasks.</w:t>
      </w:r>
    </w:p>
    <w:p>
      <w:r>
        <w:br w:type="page"/>
      </w:r>
    </w:p>
    <w:p>
      <w:pPr>
        <w:pStyle w:val="Heading1"/>
      </w:pPr>
      <w:r>
        <w:t>Appendix — Cross-Document Governance</w:t>
      </w:r>
    </w:p>
    <w:p>
      <w:r>
        <w:t>All VALUTX documents share the same source-of-truth principles: secure-by-default execution, least privilege, explicit scope for cybersecurity actions, model-provider independence, verification before completion, auditable evidence, and reversible changes. When documents conflict, the Security &amp; Access Control and Technical Architecture documents govern implementation constraints; the PRD governs product behavior; the Runbook governs operational release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