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VALUTX 2.0 — UI/UX Design Specifications</w:t>
      </w:r>
    </w:p>
    <w:p>
      <w:pPr>
        <w:jc w:val="center"/>
      </w:pPr>
      <w:r>
        <w:rPr>
          <w:i/>
          <w:sz w:val="22"/>
        </w:rPr>
        <w:t>Desktop, terminal, agent, security and cyber workspace design</w:t>
      </w:r>
    </w:p>
    <w:p>
      <w:pPr>
        <w:jc w:val="center"/>
      </w:pPr>
      <w:r>
        <w:rPr>
          <w:sz w:val="18"/>
        </w:rPr>
        <w:t>VALUTX 2.0 • Master Documentation Suite • October 2026</w:t>
      </w:r>
    </w:p>
    <w:p>
      <w:r>
        <w:br w:type="page"/>
      </w:r>
    </w:p>
    <w:p>
      <w:r>
        <w:rPr>
          <w:b/>
        </w:rPr>
        <w:t>Document Status</w:t>
        <w:br/>
      </w:r>
      <w:r>
        <w:t>Baseline architecture / implementation planning document</w:t>
        <w:br/>
      </w:r>
      <w:r>
        <w:t>Authority: VALUTX 2.0 Product &amp; Architecture Team</w:t>
        <w:br/>
      </w:r>
      <w:r>
        <w:t>Important: numerical targets labelled as examples/planning targets are not contractual until approved.</w:t>
      </w:r>
    </w:p>
    <w:p>
      <w:pPr>
        <w:pStyle w:val="Heading1"/>
      </w:pPr>
      <w:r>
        <w:t>1. UX Principles</w:t>
      </w:r>
    </w:p>
    <w:p>
      <w:r>
        <w:t>Professional engineering workstation; dense but readable; minimal decorative motion; clear status; keyboard-first operation; progressive disclosure; explainable actions; safe defaults; no misleading AI claims; accessibility from the beginning.</w:t>
      </w:r>
    </w:p>
    <w:p>
      <w:pPr>
        <w:pStyle w:val="Heading1"/>
      </w:pPr>
      <w:r>
        <w:t>2. Primary Layout</w:t>
      </w:r>
    </w:p>
    <w:p>
      <w:r>
        <w:t>Left navigation contains Workspace, Agents, Security, Cyber and System areas. Center is the active editor, terminal, graph or report surface. Right side is contextual agent/action information. Bottom panel contains terminal, tests, problems, security results and evidence.</w:t>
      </w:r>
    </w:p>
    <w:p>
      <w:pPr>
        <w:pStyle w:val="Heading1"/>
      </w:pPr>
      <w:r>
        <w:t>3. Agent Panel</w:t>
      </w:r>
    </w:p>
    <w:p>
      <w:r>
        <w:t>Show task name, status, current phase, plan, requested permissions, current tool, recent actions, verification status and evidence. Do not expose private chain-of-thought. Show concise rationale and observable execution facts instead.</w:t>
      </w:r>
    </w:p>
    <w:p>
      <w:pPr>
        <w:pStyle w:val="Heading1"/>
      </w:pPr>
      <w:r>
        <w:t>4. Approval Dialog</w:t>
      </w:r>
    </w:p>
    <w:p>
      <w:r>
        <w:t>Every sensitive approval displays action, risk, scope, files, network destinations, required permissions, expected impact, reversibility and duration. Actions: deny, modify, approve once, approve for task, approve by policy where allowed.</w:t>
      </w:r>
    </w:p>
    <w:p>
      <w:pPr>
        <w:pStyle w:val="Heading1"/>
      </w:pPr>
      <w:r>
        <w:t>5. Security Center</w:t>
      </w:r>
    </w:p>
    <w:p>
      <w:r>
        <w:t>Dashboard includes security posture, active findings, policy violations, blocked actions, exposed secrets, dependency risk, recent scans and audit events. Visual severity must be paired with concrete evidence and affected assets.</w:t>
      </w:r>
    </w:p>
    <w:p>
      <w:pPr>
        <w:pStyle w:val="Heading1"/>
      </w:pPr>
      <w:r>
        <w:t>6. Cyber Workspace</w:t>
      </w:r>
    </w:p>
    <w:p>
      <w:r>
        <w:t>Dedicated tool launcher, target/scope selector, lab status, terminal, output parser, evidence collector and findings panel. The target scope must remain visible while security operations are active.</w:t>
      </w:r>
    </w:p>
    <w:p>
      <w:pPr>
        <w:pStyle w:val="Heading1"/>
      </w:pPr>
      <w:r>
        <w:t>7. Threat Model UI</w:t>
      </w:r>
    </w:p>
    <w:p>
      <w:r>
        <w:t>Interactive assets, trust boundaries, entry points, threats and controls. Users can edit assumptions and mark items accepted, mitigated or requiring validation.</w:t>
      </w:r>
    </w:p>
    <w:p>
      <w:pPr>
        <w:pStyle w:val="Heading1"/>
      </w:pPr>
      <w:r>
        <w:t>8. Accessibility</w:t>
      </w:r>
    </w:p>
    <w:p>
      <w:r>
        <w:t>Full keyboard navigation, visible focus, semantic labels, scalable text, sufficient contrast, screen-reader-friendly controls, reduced-motion support and accessible status messaging.</w:t>
      </w:r>
    </w:p>
    <w:p>
      <w:pPr>
        <w:pStyle w:val="Heading1"/>
      </w:pPr>
      <w:r>
        <w:t>9. Error States</w:t>
      </w:r>
    </w:p>
    <w:p>
      <w:r>
        <w:t>Errors must explain what failed, what data was affected, whether execution continued, what is safe to retry and how to recover. Avoid exposing stack traces or secrets to end users.</w:t>
      </w:r>
    </w:p>
    <w:p>
      <w:pPr>
        <w:pStyle w:val="Heading1"/>
      </w:pPr>
      <w:r>
        <w:t>10. Visual Language</w:t>
      </w:r>
    </w:p>
    <w:p>
      <w:r>
        <w:t>Use restrained colors, technical typography, meaningful icons and data visualization. Avoid purple-gradient AI branding, fake counters, fake reviews, excessive pills, emoji as UI controls and decorative cursor animations.</w:t>
      </w:r>
    </w:p>
    <w:p>
      <w:r>
        <w:br w:type="page"/>
      </w:r>
    </w:p>
    <w:p>
      <w:pPr>
        <w:pStyle w:val="Heading1"/>
      </w:pPr>
      <w:r>
        <w:t>Appendix — Cross-Document Governance</w:t>
      </w:r>
    </w:p>
    <w:p>
      <w:r>
        <w:t>All VALUTX documents share the same source-of-truth principles: secure-by-default execution, least privilege, explicit scope for cybersecurity actions, model-provider independence, verification before completion, auditable evidence, and reversible changes. When documents conflict, the Security &amp; Access Control and Technical Architecture documents govern implementation constraints; the PRD governs product behavior; the Runbook governs operational release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