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Disaster Recovery &amp; Backup Plan</w:t>
      </w:r>
    </w:p>
    <w:p>
      <w:pPr>
        <w:jc w:val="center"/>
      </w:pPr>
      <w:r>
        <w:rPr>
          <w:i/>
          <w:sz w:val="22"/>
        </w:rPr>
        <w:t>Business continuity, backup, restore and resilience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Objectives</w:t>
      </w:r>
    </w:p>
    <w:p>
      <w:r>
        <w:t>Protect user configuration, project metadata, organization data, audit evidence and cloud control-plane state from accidental deletion, corruption, infrastructure failure, compromise and release defects.</w:t>
      </w:r>
    </w:p>
    <w:p>
      <w:pPr>
        <w:pStyle w:val="Heading1"/>
      </w:pPr>
      <w:r>
        <w:t>2. Recovery Tiers</w:t>
      </w:r>
    </w:p>
    <w:p>
      <w:r>
        <w:t>Tier 0: local project remains recoverable through Git.</w:t>
        <w:br/>
        <w:t>Tier 1: application configuration and policy state.</w:t>
        <w:br/>
        <w:t>Tier 2: organization metadata and cloud databases.</w:t>
        <w:br/>
        <w:t>Tier 3: evidence/artifacts.</w:t>
        <w:br/>
        <w:t>Tier 4: optional analytics/non-critical derived data.</w:t>
      </w:r>
    </w:p>
    <w:p>
      <w:pPr>
        <w:pStyle w:val="Heading1"/>
      </w:pPr>
      <w:r>
        <w:t>3. Backup Strategy</w:t>
      </w:r>
    </w:p>
    <w:p>
      <w:r>
        <w:t>Use encrypted backups, versioned snapshots and geographically separated copies for cloud data. Local data should be exportable. Critical configuration and policy should have human-readable export formats.</w:t>
      </w:r>
    </w:p>
    <w:p>
      <w:pPr>
        <w:pStyle w:val="Heading1"/>
      </w:pPr>
      <w:r>
        <w:t>4. Suggested Targets</w:t>
      </w:r>
    </w:p>
    <w:p>
      <w:r>
        <w:t>Define RPO and RTO per service before production. Example starting targets: core cloud metadata RPO ≤ 15 minutes and RTO ≤ 2 hours; non-critical analytics RPO ≤ 24 hours and RTO ≤ 24 hours. These are planning targets and must be validated against infrastructure cost and user commitments.</w:t>
      </w:r>
    </w:p>
    <w:p>
      <w:pPr>
        <w:pStyle w:val="Heading1"/>
      </w:pPr>
      <w:r>
        <w:t>5. Restore Procedure</w:t>
      </w:r>
    </w:p>
    <w:p>
      <w:r>
        <w:t>Declare incident → freeze writes where appropriate → identify last known-good backup → restore into isolated environment → verify integrity → run application/security checks → compare schema/configuration → promote → monitor → document recovery.</w:t>
      </w:r>
    </w:p>
    <w:p>
      <w:pPr>
        <w:pStyle w:val="Heading1"/>
      </w:pPr>
      <w:r>
        <w:t>6. Local Recovery</w:t>
      </w:r>
    </w:p>
    <w:p>
      <w:r>
        <w:t>Project code remains primarily recoverable through Git. VALUTX should support exporting settings, policies, Tool Passports, agent configurations and evidence. Encrypted local backups should be optional and user-controlled.</w:t>
      </w:r>
    </w:p>
    <w:p>
      <w:pPr>
        <w:pStyle w:val="Heading1"/>
      </w:pPr>
      <w:r>
        <w:t>7. Backup Security</w:t>
      </w:r>
    </w:p>
    <w:p>
      <w:r>
        <w:t>Backups must be encrypted, access-controlled, monitored and tested. Backup credentials must not be shared with normal application agents. Restoration should require elevated authorization.</w:t>
      </w:r>
    </w:p>
    <w:p>
      <w:pPr>
        <w:pStyle w:val="Heading1"/>
      </w:pPr>
      <w:r>
        <w:t>8. Testing</w:t>
      </w:r>
    </w:p>
    <w:p>
      <w:r>
        <w:t>Perform scheduled restore drills. A backup is not considered valid merely because a job reports success; restoration must be demonstrated.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