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VALUTX 2.0 — Incident Response Plan</w:t>
      </w:r>
    </w:p>
    <w:p>
      <w:pPr>
        <w:jc w:val="center"/>
      </w:pPr>
      <w:r>
        <w:rPr>
          <w:i/>
          <w:sz w:val="22"/>
        </w:rPr>
        <w:t>Detection, containment, eradication, recovery and lessons learned</w:t>
      </w:r>
    </w:p>
    <w:p>
      <w:pPr>
        <w:jc w:val="center"/>
      </w:pPr>
      <w:r>
        <w:rPr>
          <w:sz w:val="18"/>
        </w:rPr>
        <w:t>VALUTX 2.0 • Master Documentation Suite • October 2026</w:t>
      </w:r>
    </w:p>
    <w:p>
      <w:r>
        <w:br w:type="page"/>
      </w:r>
    </w:p>
    <w:p>
      <w:r>
        <w:rPr>
          <w:b/>
        </w:rPr>
        <w:t>Document Status</w:t>
        <w:br/>
      </w:r>
      <w:r>
        <w:t>Baseline architecture / implementation planning document</w:t>
        <w:br/>
      </w:r>
      <w:r>
        <w:t>Authority: VALUTX 2.0 Product &amp; Architecture Team</w:t>
        <w:br/>
      </w:r>
      <w:r>
        <w:t>Important: numerical targets labelled as examples/planning targets are not contractual until approved.</w:t>
      </w:r>
    </w:p>
    <w:p>
      <w:pPr>
        <w:pStyle w:val="Heading1"/>
      </w:pPr>
      <w:r>
        <w:t>1. Incident Categories</w:t>
      </w:r>
    </w:p>
    <w:p>
      <w:r>
        <w:t>Security breach, credential exposure, unauthorized agent action, sandbox escape, malicious plugin/MCP, supply-chain compromise, data loss, availability outage, privacy incident, destructive agent behavior and cloud infrastructure compromise.</w:t>
      </w:r>
    </w:p>
    <w:p>
      <w:pPr>
        <w:pStyle w:val="Heading1"/>
      </w:pPr>
      <w:r>
        <w:t>2. Severity</w:t>
      </w:r>
    </w:p>
    <w:p>
      <w:r>
        <w:t>SEV-1: active compromise, broad data exposure, sandbox escape or critical control failure.</w:t>
        <w:br/>
        <w:t>SEV-2: significant security/control failure with limited scope.</w:t>
        <w:br/>
        <w:t>SEV-3: localized issue with limited impact.</w:t>
        <w:br/>
        <w:t>SEV-4: informational or low-impact defect.</w:t>
      </w:r>
    </w:p>
    <w:p>
      <w:pPr>
        <w:pStyle w:val="Heading1"/>
      </w:pPr>
      <w:r>
        <w:t>3. Detection</w:t>
      </w:r>
    </w:p>
    <w:p>
      <w:r>
        <w:t>Signals include policy violations, unusual network destinations, secret-access anomalies, unexpected process trees, plugin behavior changes, audit anomalies, repeated agent failures, sandbox alerts and external reports.</w:t>
      </w:r>
    </w:p>
    <w:p>
      <w:pPr>
        <w:pStyle w:val="Heading1"/>
      </w:pPr>
      <w:r>
        <w:t>4. Response Lifecycle</w:t>
      </w:r>
    </w:p>
    <w:p>
      <w:r>
        <w:t>Prepare → Detect → Triage → Contain → Preserve evidence → Eradicate → Recover → Validate → Communicate → Post-incident review.</w:t>
      </w:r>
    </w:p>
    <w:p>
      <w:pPr>
        <w:pStyle w:val="Heading1"/>
      </w:pPr>
      <w:r>
        <w:t>5. Containment</w:t>
      </w:r>
    </w:p>
    <w:p>
      <w:r>
        <w:t>Revoke sessions and credentials, stop background agents, disable affected plugins, block network egress, quarantine affected workers, preserve logs and prevent deletion of evidence.</w:t>
      </w:r>
    </w:p>
    <w:p>
      <w:pPr>
        <w:pStyle w:val="Heading1"/>
      </w:pPr>
      <w:r>
        <w:t>6. Investigation</w:t>
      </w:r>
    </w:p>
    <w:p>
      <w:r>
        <w:t>Build a timeline using audit events, process logs, network logs, Git diffs, tool calls, policy decisions and evidence artifacts. Preserve original evidence and record investigators and timestamps.</w:t>
      </w:r>
    </w:p>
    <w:p>
      <w:pPr>
        <w:pStyle w:val="Heading1"/>
      </w:pPr>
      <w:r>
        <w:t>7. Recovery</w:t>
      </w:r>
    </w:p>
    <w:p>
      <w:r>
        <w:t>Patch or isolate the root cause, rotate credentials, restore known-good state, re-run security tests, verify policy boundaries and monitor for recurrence.</w:t>
      </w:r>
    </w:p>
    <w:p>
      <w:pPr>
        <w:pStyle w:val="Heading1"/>
      </w:pPr>
      <w:r>
        <w:t>8. Communications</w:t>
      </w:r>
    </w:p>
    <w:p>
      <w:r>
        <w:t>Maintain an internal incident channel and incident owner. External communication must be factual, scoped and coordinated with legal/privacy requirements. Do not disclose exploit details that increase risk before mitigation is available.</w:t>
      </w:r>
    </w:p>
    <w:p>
      <w:pPr>
        <w:pStyle w:val="Heading1"/>
      </w:pPr>
      <w:r>
        <w:t>9. Post-Incident</w:t>
      </w:r>
    </w:p>
    <w:p>
      <w:r>
        <w:t>Document root cause, contributing factors, controls that failed, detection gap, recovery time, customer impact and preventive actions. Convert lessons into tests so the same failure becomes a permanent regression case.</w:t>
      </w:r>
    </w:p>
    <w:p>
      <w:r>
        <w:br w:type="page"/>
      </w:r>
    </w:p>
    <w:p>
      <w:pPr>
        <w:pStyle w:val="Heading1"/>
      </w:pPr>
      <w:r>
        <w:t>Appendix — Cross-Document Governance</w:t>
      </w:r>
    </w:p>
    <w:p>
      <w:r>
        <w:t>All VALUTX documents share the same source-of-truth principles: secure-by-default execution, least privilege, explicit scope for cybersecurity actions, model-provider independence, verification before completion, auditable evidence, and reversible changes. When documents conflict, the Security &amp; Access Control and Technical Architecture documents govern implementation constraints; the PRD governs product behavior; the Runbook governs operational release procedures.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