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Data Flow &amp; Compliance Diagram</w:t>
      </w:r>
    </w:p>
    <w:p>
      <w:pPr>
        <w:jc w:val="center"/>
      </w:pPr>
      <w:r>
        <w:rPr>
          <w:i/>
          <w:sz w:val="22"/>
        </w:rPr>
        <w:t>Data classification, movement, retention and compliance controls</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Core Data Flow</w:t>
      </w:r>
    </w:p>
    <w:p>
      <w:r>
        <w:t>User → UI → Local Runtime → Policy Gateway → Model/Tool → Sandbox → Verification → Evidence → Local Audit Store. Optional cloud path: selected metadata/task data → authenticated control plane → cloud worker/storage. Cloud use is explicitly policy-controlled.</w:t>
      </w:r>
    </w:p>
    <w:p>
      <w:pPr>
        <w:pStyle w:val="Heading1"/>
      </w:pPr>
      <w:r>
        <w:t>2. Text Diagram</w:t>
      </w:r>
    </w:p>
    <w:p>
      <w:r>
        <w:t>USER</w:t>
        <w:br/>
        <w:t xml:space="preserve">  │</w:t>
        <w:br/>
        <w:t xml:space="preserve">  ▼</w:t>
        <w:br/>
        <w:t>VALUTX UI</w:t>
        <w:br/>
        <w:t xml:space="preserve">  │</w:t>
        <w:br/>
        <w:t xml:space="preserve">  ▼</w:t>
        <w:br/>
        <w:t>LOCAL RUNTIME</w:t>
        <w:br/>
        <w:t xml:space="preserve">  │</w:t>
        <w:br/>
        <w:t xml:space="preserve">  ├── Context Engine ──&gt; Project Files / Index</w:t>
        <w:br/>
        <w:t xml:space="preserve">  │</w:t>
        <w:br/>
        <w:t xml:space="preserve">  ├── Policy Engine</w:t>
        <w:br/>
        <w:t xml:space="preserve">  │</w:t>
        <w:br/>
        <w:t xml:space="preserve">  ├── Secret Broker ──&gt; OS Vault</w:t>
        <w:br/>
        <w:t xml:space="preserve">  │</w:t>
        <w:br/>
        <w:t xml:space="preserve">  └── Agent Orchestrator</w:t>
        <w:br/>
        <w:t xml:space="preserve">           │</w:t>
        <w:br/>
        <w:t xml:space="preserve">           ▼</w:t>
        <w:br/>
        <w:t xml:space="preserve">     MODEL ROUTER</w:t>
        <w:br/>
        <w:t xml:space="preserve">      │       │</w:t>
        <w:br/>
        <w:t xml:space="preserve">      │       └── Optional Cloud Model</w:t>
        <w:br/>
        <w:t xml:space="preserve">      │</w:t>
        <w:br/>
        <w:t xml:space="preserve">      ▼</w:t>
        <w:br/>
        <w:t xml:space="preserve">   TOOL GATEWAY</w:t>
        <w:br/>
        <w:t xml:space="preserve">      │</w:t>
        <w:br/>
        <w:t xml:space="preserve">      ▼</w:t>
        <w:br/>
        <w:t xml:space="preserve"> ISOLATED SANDBOX</w:t>
        <w:br/>
        <w:t xml:space="preserve">      │</w:t>
        <w:br/>
        <w:t xml:space="preserve">      ├── Code Tools</w:t>
        <w:br/>
        <w:t xml:space="preserve">      └── Cyber Tools</w:t>
        <w:br/>
        <w:t xml:space="preserve">      │</w:t>
        <w:br/>
        <w:t xml:space="preserve">      ▼</w:t>
        <w:br/>
        <w:t xml:space="preserve"> VERIFICATION ENGINE</w:t>
        <w:br/>
        <w:t xml:space="preserve">      │</w:t>
        <w:br/>
        <w:t xml:space="preserve">      ▼</w:t>
        <w:br/>
        <w:t xml:space="preserve"> EVIDENCE + AUDIT</w:t>
      </w:r>
    </w:p>
    <w:p>
      <w:pPr>
        <w:pStyle w:val="Heading1"/>
      </w:pPr>
      <w:r>
        <w:t>3. Data Classification</w:t>
      </w:r>
    </w:p>
    <w:p>
      <w:r>
        <w:t>Public: product documentation.</w:t>
        <w:br/>
        <w:t>Internal: operational metadata and non-sensitive configuration.</w:t>
        <w:br/>
        <w:t>Confidential: source code, project data, security findings.</w:t>
        <w:br/>
        <w:t>Restricted: credentials, private keys, tokens, personal data and highly sensitive customer information.</w:t>
      </w:r>
    </w:p>
    <w:p>
      <w:pPr>
        <w:pStyle w:val="Heading1"/>
      </w:pPr>
      <w:r>
        <w:t>4. Data Egress Rules</w:t>
      </w:r>
    </w:p>
    <w:p>
      <w:r>
        <w:t>Restricted data should remain local by default. Confidential data requires explicit provider policy before cloud inference. Secrets should never be sent to model providers. Telemetry must be minimized and must not include source code or credentials by default.</w:t>
      </w:r>
    </w:p>
    <w:p>
      <w:pPr>
        <w:pStyle w:val="Heading1"/>
      </w:pPr>
      <w:r>
        <w:t>5. Retention</w:t>
      </w:r>
    </w:p>
    <w:p>
      <w:r>
        <w:t>Define retention per data type: task metadata, audit logs, security evidence, user content, crash reports and cloud artifacts. Provide user/admin controls where appropriate and secure deletion procedures subject to legal retention requirements.</w:t>
      </w:r>
    </w:p>
    <w:p>
      <w:pPr>
        <w:pStyle w:val="Heading1"/>
      </w:pPr>
      <w:r>
        <w:t>6. Compliance Roadmap</w:t>
      </w:r>
    </w:p>
    <w:p>
      <w:r>
        <w:t>Potential future controls should map to relevant privacy/security frameworks such as GDPR where applicable, India's Digital Personal Data Protection Act where applicable, SOC 2 controls for organizational operations, ISO/IEC 27001-aligned ISMS practices, and contractual customer requirements. Compliance claims should only be made after formal assessment.</w:t>
      </w:r>
    </w:p>
    <w:p>
      <w:pPr>
        <w:pStyle w:val="Heading1"/>
      </w:pPr>
      <w:r>
        <w:t>7. Privacy by Design</w:t>
      </w:r>
    </w:p>
    <w:p>
      <w:r>
        <w:t>Collect the minimum data necessary, make cloud routing visible, provide local-only operation, encrypt sensitive data, restrict access, log administrative access and provide export/deletion capabilities where legally applicable.</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