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VALUTX 2.0 — Security Risk Assessment &amp; Threat Model</w:t>
      </w:r>
    </w:p>
    <w:p>
      <w:pPr>
        <w:jc w:val="center"/>
      </w:pPr>
      <w:r>
        <w:rPr>
          <w:i/>
          <w:sz w:val="22"/>
        </w:rPr>
        <w:t>Threats, attack surfaces, controls and residual risk</w:t>
      </w:r>
    </w:p>
    <w:p>
      <w:pPr>
        <w:jc w:val="center"/>
      </w:pPr>
      <w:r>
        <w:rPr>
          <w:sz w:val="18"/>
        </w:rPr>
        <w:t>VALUTX 2.0 • Master Documentation Suite • October 2026</w:t>
      </w:r>
    </w:p>
    <w:p>
      <w:r>
        <w:br w:type="page"/>
      </w:r>
    </w:p>
    <w:p>
      <w:r>
        <w:rPr>
          <w:b/>
        </w:rPr>
        <w:t>Document Status</w:t>
        <w:br/>
      </w:r>
      <w:r>
        <w:t>Baseline architecture / implementation planning document</w:t>
        <w:br/>
      </w:r>
      <w:r>
        <w:t>Authority: VALUTX 2.0 Product &amp; Architecture Team</w:t>
        <w:br/>
      </w:r>
      <w:r>
        <w:t>Important: numerical targets labelled as examples/planning targets are not contractual until approved.</w:t>
      </w:r>
    </w:p>
    <w:p>
      <w:pPr>
        <w:pStyle w:val="Heading1"/>
      </w:pPr>
      <w:r>
        <w:t>1. Assets</w:t>
      </w:r>
    </w:p>
    <w:p>
      <w:r>
        <w:t>Source code, Git credentials, cloud credentials, SSH keys, API tokens, user data, security findings, agent policies, audit logs, tool packages, plugin code, model configuration, project memory, cyber-lab targets and cloud organization data.</w:t>
      </w:r>
    </w:p>
    <w:p>
      <w:pPr>
        <w:pStyle w:val="Heading1"/>
      </w:pPr>
      <w:r>
        <w:t>2. Trust Boundaries</w:t>
      </w:r>
    </w:p>
    <w:p>
      <w:r>
        <w:t>User/UI boundary; UI/runtime IPC; runtime/sandbox; sandbox/network; model/tool boundary; plugin/MCP boundary; local/cloud boundary; project/untrusted repository boundary; organization/user boundary.</w:t>
      </w:r>
    </w:p>
    <w:p>
      <w:pPr>
        <w:pStyle w:val="Heading1"/>
      </w:pPr>
      <w:r>
        <w:t>3. Threat Actors</w:t>
      </w:r>
    </w:p>
    <w:p>
      <w:r>
        <w:t>Malicious repository author, compromised dependency maintainer, malicious plugin publisher, compromised MCP server, external attacker, malicious insider, compromised cloud credential, prompt-injection author, and accidental user behavior.</w:t>
      </w:r>
    </w:p>
    <w:p>
      <w:pPr>
        <w:pStyle w:val="Heading1"/>
      </w:pPr>
      <w:r>
        <w:t>4. Threats</w:t>
      </w:r>
    </w:p>
    <w:p>
      <w:r>
        <w:t>Prompt injection; tool poisoning; malicious repository instructions; package lifecycle execution; secret exfiltration; unauthorized network access; excessive agency; sandbox escape; privilege escalation; malicious plugin; confused-deputy behavior; audit tampering; model hallucination; false security findings; denial of service; credential theft; unsafe deployment.</w:t>
      </w:r>
    </w:p>
    <w:p>
      <w:pPr>
        <w:pStyle w:val="Heading1"/>
      </w:pPr>
      <w:r>
        <w:t>5. Risk Method</w:t>
      </w:r>
    </w:p>
    <w:p>
      <w:r>
        <w:t>Rate likelihood and impact separately, derive an initial risk level, document existing controls, calculate residual risk after controls, and assign an owner. Risk ratings are decision aids rather than proof that a threat is eliminated.</w:t>
      </w:r>
    </w:p>
    <w:p>
      <w:pPr>
        <w:pStyle w:val="Heading1"/>
      </w:pPr>
      <w:r>
        <w:t>6. High-Priority Controls</w:t>
      </w:r>
    </w:p>
    <w:p>
      <w:r>
        <w:t>Agent Firewall; least privilege; sandboxing; egress filtering; scope lock; secret broker; repository trust mode; plugin/MCP security gateway; signed artifacts; resource limits; approval for sensitive actions; verification; immutable/auditable logs; rollback; adversarial test suites.</w:t>
      </w:r>
    </w:p>
    <w:p>
      <w:pPr>
        <w:pStyle w:val="Heading1"/>
      </w:pPr>
      <w:r>
        <w:t>7. Abuse Cases</w:t>
      </w:r>
    </w:p>
    <w:p>
      <w:r>
        <w:t>An untrusted repository attempts to instruct the agent to read SSH keys; a malicious MCP tool requests secrets; an agent tries to scan an unauthorized network; a package install executes a hidden lifecycle script; a background agent attempts to exfiltrate source code; a model falsely reports a security issue as fixed.</w:t>
      </w:r>
    </w:p>
    <w:p>
      <w:pPr>
        <w:pStyle w:val="Heading1"/>
      </w:pPr>
      <w:r>
        <w:t>8. Residual Risk</w:t>
      </w:r>
    </w:p>
    <w:p>
      <w:r>
        <w:t>AI systems remain probabilistic. Residual risks include unknown vulnerabilities, novel prompt-injection techniques, OS-specific isolation weaknesses and human approval errors. Therefore VALUTX must rely on layered controls rather than trusting model behavior.</w:t>
      </w:r>
    </w:p>
    <w:p>
      <w:pPr>
        <w:pStyle w:val="Heading1"/>
      </w:pPr>
      <w:r>
        <w:t>9. Threat Model Maintenance</w:t>
      </w:r>
    </w:p>
    <w:p>
      <w:r>
        <w:t>Update after major architecture changes, new tool classes, new external integrations, security incidents, sandbox changes and major model/provider changes.</w:t>
      </w:r>
    </w:p>
    <w:p>
      <w:r>
        <w:br w:type="page"/>
      </w:r>
    </w:p>
    <w:p>
      <w:pPr>
        <w:pStyle w:val="Heading1"/>
      </w:pPr>
      <w:r>
        <w:t>Appendix — Cross-Document Governance</w:t>
      </w:r>
    </w:p>
    <w:p>
      <w:r>
        <w:t>All VALUTX documents share the same source-of-truth principles: secure-by-default execution, least privilege, explicit scope for cybersecurity actions, model-provider independence, verification before completion, auditable evidence, and reversible changes. When documents conflict, the Security &amp; Access Control and Technical Architecture documents govern implementation constraints; the PRD governs product behavior; the Runbook governs operational release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