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VALUTX 2.0 — SLA / OLA</w:t>
      </w:r>
    </w:p>
    <w:p>
      <w:pPr>
        <w:jc w:val="center"/>
      </w:pPr>
      <w:r>
        <w:rPr>
          <w:i/>
          <w:sz w:val="22"/>
        </w:rPr>
        <w:t>Service commitments, support boundaries and internal operating targets</w:t>
      </w:r>
    </w:p>
    <w:p>
      <w:pPr>
        <w:jc w:val="center"/>
      </w:pPr>
      <w:r>
        <w:rPr>
          <w:sz w:val="18"/>
        </w:rPr>
        <w:t>VALUTX 2.0 • Master Documentation Suite • October 2026</w:t>
      </w:r>
    </w:p>
    <w:p>
      <w:r>
        <w:br w:type="page"/>
      </w:r>
    </w:p>
    <w:p>
      <w:r>
        <w:rPr>
          <w:b/>
        </w:rPr>
        <w:t>Document Status</w:t>
        <w:br/>
      </w:r>
      <w:r>
        <w:t>Baseline architecture / implementation planning document</w:t>
        <w:br/>
      </w:r>
      <w:r>
        <w:t>Authority: VALUTX 2.0 Product &amp; Architecture Team</w:t>
        <w:br/>
      </w:r>
      <w:r>
        <w:t>Important: numerical targets labelled as examples/planning targets are not contractual until approved.</w:t>
      </w:r>
    </w:p>
    <w:p>
      <w:pPr>
        <w:pStyle w:val="Heading1"/>
      </w:pPr>
      <w:r>
        <w:t>1. Scope</w:t>
      </w:r>
    </w:p>
    <w:p>
      <w:r>
        <w:t>This document applies to optional VALUTX cloud/team services. The local desktop application cannot guarantee Internet or third-party availability and therefore has separate local reliability objectives.</w:t>
      </w:r>
    </w:p>
    <w:p>
      <w:pPr>
        <w:pStyle w:val="Heading1"/>
      </w:pPr>
      <w:r>
        <w:t>2. Service Classes</w:t>
      </w:r>
    </w:p>
    <w:p>
      <w:r>
        <w:t>Community/local: best effort.</w:t>
        <w:br/>
        <w:t>Pro/team: operational targets and support response.</w:t>
        <w:br/>
        <w:t>Enterprise: negotiated SLA, support, security and data-processing commitments.</w:t>
      </w:r>
    </w:p>
    <w:p>
      <w:pPr>
        <w:pStyle w:val="Heading1"/>
      </w:pPr>
      <w:r>
        <w:t>3. Example Availability Targets</w:t>
      </w:r>
    </w:p>
    <w:p>
      <w:r>
        <w:t>Planning targets, not contractual commitments: 99.5% monthly availability for standard cloud control-plane services; 99.9% for enterprise services where infrastructure supports it. Exact commitments require final infrastructure, exclusions and measurement definitions.</w:t>
      </w:r>
    </w:p>
    <w:p>
      <w:pPr>
        <w:pStyle w:val="Heading1"/>
      </w:pPr>
      <w:r>
        <w:t>4. Support Response</w:t>
      </w:r>
    </w:p>
    <w:p>
      <w:r>
        <w:t>Suggested starting targets: SEV-1 acknowledgement within 30 minutes for enterprise; SEV-2 within 2 hours; SEV-3 within 1 business day; SEV-4 within 3 business days. Final commitments should reflect staffing and support hours.</w:t>
      </w:r>
    </w:p>
    <w:p>
      <w:pPr>
        <w:pStyle w:val="Heading1"/>
      </w:pPr>
      <w:r>
        <w:t>5. OLA</w:t>
      </w:r>
    </w:p>
    <w:p>
      <w:r>
        <w:t>Internal teams: engineering owns application reliability; security owns security monitoring and incident response; SRE/platform owns infrastructure; support owns customer communication; product owns prioritization; release management owns deployment gates.</w:t>
      </w:r>
    </w:p>
    <w:p>
      <w:pPr>
        <w:pStyle w:val="Heading1"/>
      </w:pPr>
      <w:r>
        <w:t>6. Maintenance</w:t>
      </w:r>
    </w:p>
    <w:p>
      <w:r>
        <w:t>Planned maintenance should be communicated in advance for cloud services. Emergency maintenance may occur to protect security or data integrity.</w:t>
      </w:r>
    </w:p>
    <w:p>
      <w:pPr>
        <w:pStyle w:val="Heading1"/>
      </w:pPr>
      <w:r>
        <w:t>7. Exclusions</w:t>
      </w:r>
    </w:p>
    <w:p>
      <w:r>
        <w:t>Third-party provider outages, user-caused configuration errors, unsupported environments, force majeure, beta features and unauthorized modifications may be excluded from availability calculations subject to the final contract.</w:t>
      </w:r>
    </w:p>
    <w:p>
      <w:pPr>
        <w:pStyle w:val="Heading1"/>
      </w:pPr>
      <w:r>
        <w:t>8. Measurement</w:t>
      </w:r>
    </w:p>
    <w:p>
      <w:r>
        <w:t>Measure availability using synthetic checks and service telemetry. Define downtime, degraded service, maintenance windows and incident start/end precisely before publishing contractual SLAs.</w:t>
      </w:r>
    </w:p>
    <w:p>
      <w:r>
        <w:br w:type="page"/>
      </w:r>
    </w:p>
    <w:p>
      <w:pPr>
        <w:pStyle w:val="Heading1"/>
      </w:pPr>
      <w:r>
        <w:t>Appendix — Cross-Document Governance</w:t>
      </w:r>
    </w:p>
    <w:p>
      <w:r>
        <w:t>All VALUTX documents share the same source-of-truth principles: secure-by-default execution, least privilege, explicit scope for cybersecurity actions, model-provider independence, verification before completion, auditable evidence, and reversible changes. When documents conflict, the Security &amp; Access Control and Technical Architecture documents govern implementation constraints; the PRD governs product behavior; the Runbook governs operational release procedures.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