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VALUTX 2.0 — Monetization &amp; Pricing Strategy</w:t>
      </w:r>
    </w:p>
    <w:p>
      <w:pPr>
        <w:jc w:val="center"/>
      </w:pPr>
      <w:r>
        <w:rPr>
          <w:i/>
          <w:sz w:val="22"/>
        </w:rPr>
        <w:t>Business model, packaging, pricing hypotheses and unit economics</w:t>
      </w:r>
    </w:p>
    <w:p>
      <w:pPr>
        <w:jc w:val="center"/>
      </w:pPr>
      <w:r>
        <w:rPr>
          <w:sz w:val="18"/>
        </w:rPr>
        <w:t>VALUTX 2.0 • Master Documentation Suite • October 2026</w:t>
      </w:r>
    </w:p>
    <w:p>
      <w:r>
        <w:br w:type="page"/>
      </w:r>
    </w:p>
    <w:p>
      <w:r>
        <w:rPr>
          <w:b/>
        </w:rPr>
        <w:t>Document Status</w:t>
        <w:br/>
      </w:r>
      <w:r>
        <w:t>Baseline architecture / implementation planning document</w:t>
        <w:br/>
      </w:r>
      <w:r>
        <w:t>Authority: VALUTX 2.0 Product &amp; Architecture Team</w:t>
        <w:br/>
      </w:r>
      <w:r>
        <w:t>Important: numerical targets labelled as examples/planning targets are not contractual until approved.</w:t>
      </w:r>
    </w:p>
    <w:p>
      <w:pPr>
        <w:pStyle w:val="Heading1"/>
      </w:pPr>
      <w:r>
        <w:t>1. Strategy</w:t>
      </w:r>
    </w:p>
    <w:p>
      <w:r>
        <w:t>Use a product-led model where the local core provides substantial value while paid tiers add advanced models, cloud execution, collaboration, enterprise controls, premium support and managed security capabilities. Avoid locking core security controls behind payment.</w:t>
      </w:r>
    </w:p>
    <w:p>
      <w:pPr>
        <w:pStyle w:val="Heading1"/>
      </w:pPr>
      <w:r>
        <w:t>2. Packaging</w:t>
      </w:r>
    </w:p>
    <w:p>
      <w:r>
        <w:t>Community: local desktop/CLI, Git workflow, basic agent, sandbox, selected offline capabilities and cyber labs.</w:t>
        <w:br/>
        <w:t>Pro: advanced model routing, larger local/cloud workflows, background jobs, advanced security analysis, richer evidence and additional automation.</w:t>
        <w:br/>
        <w:t>Team: shared policies, organization controls, collaboration, shared tools, audit and centralized administration.</w:t>
        <w:br/>
        <w:t>Enterprise: SSO, advanced RBAC/ABAC, policy enforcement, private deployments, compliance support, dedicated support and negotiated data controls.</w:t>
      </w:r>
    </w:p>
    <w:p>
      <w:pPr>
        <w:pStyle w:val="Heading1"/>
      </w:pPr>
      <w:r>
        <w:t>3. Pricing Model</w:t>
      </w:r>
    </w:p>
    <w:p>
      <w:r>
        <w:t>Potential models: per-seat subscription, usage-based compute/model charges, managed-agent minutes, or hybrid seat + usage. Avoid pure token pricing for core user trust. Show users what drives cost.</w:t>
      </w:r>
    </w:p>
    <w:p>
      <w:pPr>
        <w:pStyle w:val="Heading1"/>
      </w:pPr>
      <w:r>
        <w:t>4. Free Strategy</w:t>
      </w:r>
    </w:p>
    <w:p>
      <w:r>
        <w:t>A useful free/local tier supports adoption and developer trust. Free users should be able to learn the product without immediately requiring payment for basic safety features.</w:t>
      </w:r>
    </w:p>
    <w:p>
      <w:pPr>
        <w:pStyle w:val="Heading1"/>
      </w:pPr>
      <w:r>
        <w:t>5. Enterprise Monetization</w:t>
      </w:r>
    </w:p>
    <w:p>
      <w:r>
        <w:t>Enterprise value comes from governance: policy management, audit, identity integration, private deployment, controlled cloud agents, compliance evidence, support and security operations rather than merely larger chat limits.</w:t>
      </w:r>
    </w:p>
    <w:p>
      <w:pPr>
        <w:pStyle w:val="Heading1"/>
      </w:pPr>
      <w:r>
        <w:t>6. Unit Economics</w:t>
      </w:r>
    </w:p>
    <w:p>
      <w:r>
        <w:t>Track inference cost, storage, compute time, support cost, acquisition cost, conversion, retention and gross margin by tier. Background agents require explicit cost controls because they can consume significantly more compute than interactive use.</w:t>
      </w:r>
    </w:p>
    <w:p>
      <w:pPr>
        <w:pStyle w:val="Heading1"/>
      </w:pPr>
      <w:r>
        <w:t>7. Pricing Validation</w:t>
      </w:r>
    </w:p>
    <w:p>
      <w:r>
        <w:t>Before final pricing, interview target personas, run landing-page tests, offer controlled pilots, measure willingness-to-pay and compare alternatives. Pricing in this document is a hypothesis framework, not a final price list.</w:t>
      </w:r>
    </w:p>
    <w:p>
      <w:r>
        <w:br w:type="page"/>
      </w:r>
    </w:p>
    <w:p>
      <w:pPr>
        <w:pStyle w:val="Heading1"/>
      </w:pPr>
      <w:r>
        <w:t>Appendix — Cross-Document Governance</w:t>
      </w:r>
    </w:p>
    <w:p>
      <w:r>
        <w:t>All VALUTX documents share the same source-of-truth principles: secure-by-default execution, least privilege, explicit scope for cybersecurity actions, model-provider independence, verification before completion, auditable evidence, and reversible changes. When documents conflict, the Security &amp; Access Control and Technical Architecture documents govern implementation constraints; the PRD governs product behavior; the Runbook governs operational release procedures.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