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Go-To-Market &amp; Launch Strategy</w:t>
      </w:r>
    </w:p>
    <w:p>
      <w:pPr>
        <w:jc w:val="center"/>
      </w:pPr>
      <w:r>
        <w:rPr>
          <w:i/>
          <w:sz w:val="22"/>
        </w:rPr>
        <w:t>Positioning, audience, launch phases and growth loops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Positioning</w:t>
      </w:r>
    </w:p>
    <w:p>
      <w:r>
        <w:t>VALUTX should be positioned around secure agent execution rather than generic AI coding. Core message: build with agents without giving up control.</w:t>
      </w:r>
    </w:p>
    <w:p>
      <w:pPr>
        <w:pStyle w:val="Heading1"/>
      </w:pPr>
      <w:r>
        <w:t>2. Initial Beachhead</w:t>
      </w:r>
    </w:p>
    <w:p>
      <w:r>
        <w:t>Start with technically sophisticated developers, cybersecurity students/researchers and security-conscious engineering teams. These users can provide high-quality feedback on agent behavior, terminal workflows and security controls.</w:t>
      </w:r>
    </w:p>
    <w:p>
      <w:pPr>
        <w:pStyle w:val="Heading1"/>
      </w:pPr>
      <w:r>
        <w:t>3. Launch Sequence</w:t>
      </w:r>
    </w:p>
    <w:p>
      <w:r>
        <w:t>Private technical alpha → cybersecurity/developer design partners → public developer preview → community labs and benchmark → Pro/Team beta → enterprise pilots.</w:t>
      </w:r>
    </w:p>
    <w:p>
      <w:pPr>
        <w:pStyle w:val="Heading1"/>
      </w:pPr>
      <w:r>
        <w:t>4. Launch Assets</w:t>
      </w:r>
    </w:p>
    <w:p>
      <w:r>
        <w:t>Product demo, architecture paper, security model, threat model, benchmark results, cyber-lab walkthroughs, transparent roadmap, documentation, CLI demo and comparison matrix based on documented capabilities rather than marketing claims.</w:t>
      </w:r>
    </w:p>
    <w:p>
      <w:pPr>
        <w:pStyle w:val="Heading1"/>
      </w:pPr>
      <w:r>
        <w:t>5. Community Strategy</w:t>
      </w:r>
    </w:p>
    <w:p>
      <w:r>
        <w:t>Open selected components where strategically useful: SDKs, Tool Passport schemas, benchmark harnesses, lab definitions and security research. Encourage community-created skills and tools subject to security review.</w:t>
      </w:r>
    </w:p>
    <w:p>
      <w:pPr>
        <w:pStyle w:val="Heading1"/>
      </w:pPr>
      <w:r>
        <w:t>6. Growth Loops</w:t>
      </w:r>
    </w:p>
    <w:p>
      <w:r>
        <w:t>Developers create projects → share VALUTX configuration/skills → collaborators install VALUTX → plugins/labs grow → benchmark results improve → more technical users contribute. Security labs and educational content can create a separate learning loop.</w:t>
      </w:r>
    </w:p>
    <w:p>
      <w:pPr>
        <w:pStyle w:val="Heading1"/>
      </w:pPr>
      <w:r>
        <w:t>7. Trust Strategy</w:t>
      </w:r>
    </w:p>
    <w:p>
      <w:r>
        <w:t>Publish security advisories, architecture decisions, telemetry policy, model-provider policy and limitations. Avoid claiming autonomous safety; demonstrate controls through reproducible tests.</w:t>
      </w:r>
    </w:p>
    <w:p>
      <w:pPr>
        <w:pStyle w:val="Heading1"/>
      </w:pPr>
      <w:r>
        <w:t>8. Launch Metrics</w:t>
      </w:r>
    </w:p>
    <w:p>
      <w:r>
        <w:t>Activation, repository tasks completed, verified task rate, weekly active users, retention, successful lab sessions, plugin adoption, conversion, cloud-agent utilization, support burden and security incidents.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