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VALUTX 2.0 — Developer Documentation &amp; API Specification</w:t>
      </w:r>
    </w:p>
    <w:p>
      <w:pPr>
        <w:jc w:val="center"/>
      </w:pPr>
      <w:r>
        <w:rPr>
          <w:i/>
          <w:sz w:val="22"/>
        </w:rPr>
        <w:t>SDK, runtime APIs, tool contracts and extension model</w:t>
      </w:r>
    </w:p>
    <w:p>
      <w:pPr>
        <w:jc w:val="center"/>
      </w:pPr>
      <w:r>
        <w:rPr>
          <w:sz w:val="18"/>
        </w:rPr>
        <w:t>VALUTX 2.0 • Master Documentation Suite • October 2026</w:t>
      </w:r>
    </w:p>
    <w:p>
      <w:r>
        <w:br w:type="page"/>
      </w:r>
    </w:p>
    <w:p>
      <w:r>
        <w:rPr>
          <w:b/>
        </w:rPr>
        <w:t>Document Status</w:t>
        <w:br/>
      </w:r>
      <w:r>
        <w:t>Baseline architecture / implementation planning document</w:t>
        <w:br/>
      </w:r>
      <w:r>
        <w:t>Authority: VALUTX 2.0 Product &amp; Architecture Team</w:t>
        <w:br/>
      </w:r>
      <w:r>
        <w:t>Important: numerical targets labelled as examples/planning targets are not contractual until approved.</w:t>
      </w:r>
    </w:p>
    <w:p>
      <w:pPr>
        <w:pStyle w:val="Heading1"/>
      </w:pPr>
      <w:r>
        <w:t>1. API Philosophy</w:t>
      </w:r>
    </w:p>
    <w:p>
      <w:r>
        <w:t>APIs are capability-oriented and policy-aware. A caller does not receive arbitrary shell access merely because it can call an endpoint. Every privileged operation carries identity, project, task and capability context.</w:t>
      </w:r>
    </w:p>
    <w:p>
      <w:pPr>
        <w:pStyle w:val="Heading1"/>
      </w:pPr>
      <w:r>
        <w:t>2. Runtime API Domains</w:t>
      </w:r>
    </w:p>
    <w:p>
      <w:r>
        <w:t>Projects: create/open/list.</w:t>
        <w:br/>
        <w:t>Files: read/write/search/diff.</w:t>
        <w:br/>
        <w:t>Git: status/branch/commit/revert.</w:t>
        <w:br/>
        <w:t>Agent: create/run/pause/cancel.</w:t>
        <w:br/>
        <w:t>Plans: create/review/approve.</w:t>
        <w:br/>
        <w:t>Tools: list/inspect/execute.</w:t>
        <w:br/>
        <w:t>Policy: evaluate/request/revoke.</w:t>
        <w:br/>
        <w:t>Sandbox: create/start/stop.</w:t>
        <w:br/>
        <w:t>Evidence: create/list/export.</w:t>
        <w:br/>
        <w:t>Audit: query/export.</w:t>
        <w:br/>
        <w:t>Security: scope/findings/threat-model.</w:t>
      </w:r>
    </w:p>
    <w:p>
      <w:pPr>
        <w:pStyle w:val="Heading1"/>
      </w:pPr>
      <w:r>
        <w:t>3. Example Agent Contract</w:t>
      </w:r>
    </w:p>
    <w:p>
      <w:r>
        <w:t>POST /v1/agents/runs creates a task. Request contains project_id, task description, policy profile and optional scope. Response returns run_id and initial state. Execution events are streamed through a secure event channel.</w:t>
      </w:r>
    </w:p>
    <w:p>
      <w:pPr>
        <w:pStyle w:val="Heading1"/>
      </w:pPr>
      <w:r>
        <w:t>4. Example Tool Contract</w:t>
      </w:r>
    </w:p>
    <w:p>
      <w:r>
        <w:t>A tool declares name, version, capabilities, input schema, output schema, filesystem requirements, network requirements, secret requirements, risk classification, sandbox requirements and documentation references.</w:t>
      </w:r>
    </w:p>
    <w:p>
      <w:pPr>
        <w:pStyle w:val="Heading1"/>
      </w:pPr>
      <w:r>
        <w:t>5. Tool Execution</w:t>
      </w:r>
    </w:p>
    <w:p>
      <w:r>
        <w:t>The client requests execution. Runtime resolves the Tool Passport, evaluates policy, creates or selects a sandbox, requests approval if required, executes, parses output and returns evidence references. The tool never receives more credentials than policy grants.</w:t>
      </w:r>
    </w:p>
    <w:p>
      <w:pPr>
        <w:pStyle w:val="Heading1"/>
      </w:pPr>
      <w:r>
        <w:t>6. Event Model</w:t>
      </w:r>
    </w:p>
    <w:p>
      <w:r>
        <w:t>Events include RunCreated, PlanCreated, ApprovalRequested, ApprovalGranted, ToolStarted, ToolOutput, PolicyDenied, SandboxStarted, VerificationStarted, VerificationPassed, VerificationFailed, EvidenceCreated, RunCompleted and RunRolledBack.</w:t>
      </w:r>
    </w:p>
    <w:p>
      <w:pPr>
        <w:pStyle w:val="Heading1"/>
      </w:pPr>
      <w:r>
        <w:t>7. Plugin SDK</w:t>
      </w:r>
    </w:p>
    <w:p>
      <w:r>
        <w:t>Plugins should implement a manifest, capability declarations, lifecycle hooks where permitted, tool adapters, UI surfaces where appropriate and security metadata. Installation must not automatically grant all declared capabilities.</w:t>
      </w:r>
    </w:p>
    <w:p>
      <w:pPr>
        <w:pStyle w:val="Heading1"/>
      </w:pPr>
      <w:r>
        <w:t>8. MCP Adapter</w:t>
      </w:r>
    </w:p>
    <w:p>
      <w:r>
        <w:t>MCP servers are registered through the security gateway. The adapter translates MCP tool definitions into VALUTX capability objects and applies VALUTX policy before every tool invocation.</w:t>
      </w:r>
    </w:p>
    <w:p>
      <w:pPr>
        <w:pStyle w:val="Heading1"/>
      </w:pPr>
      <w:r>
        <w:t>9. Error Model</w:t>
      </w:r>
    </w:p>
    <w:p>
      <w:r>
        <w:t>Errors should include stable machine-readable codes such as POLICY_DENIED, SCOPE_DENIED, SANDBOX_UNAVAILABLE, TOOL_NOT_FOUND, APPROVAL_REQUIRED, VERIFICATION_FAILED and RESOURCE_LIMIT.</w:t>
      </w:r>
    </w:p>
    <w:p>
      <w:pPr>
        <w:pStyle w:val="Heading1"/>
      </w:pPr>
      <w:r>
        <w:t>10. Versioning</w:t>
      </w:r>
    </w:p>
    <w:p>
      <w:r>
        <w:t>Use versioned APIs and schemas. Breaking changes require a new major API version. Tool Passport and policy schemas should support compatibility negotiation.</w:t>
      </w:r>
    </w:p>
    <w:p>
      <w:pPr>
        <w:pStyle w:val="Heading1"/>
      </w:pPr>
      <w:r>
        <w:t>11. Developer Testing</w:t>
      </w:r>
    </w:p>
    <w:p>
      <w:r>
        <w:t>SDKs must provide unit tests, integration tests, mock tool runners, policy fixtures, sandbox fixtures and adversarial security tests. Extension authors should test both permitted and denied scenarios.</w:t>
      </w:r>
    </w:p>
    <w:p>
      <w:r>
        <w:br w:type="page"/>
      </w:r>
    </w:p>
    <w:p>
      <w:pPr>
        <w:pStyle w:val="Heading1"/>
      </w:pPr>
      <w:r>
        <w:t>Appendix — Cross-Document Governance</w:t>
      </w:r>
    </w:p>
    <w:p>
      <w:r>
        <w:t>All VALUTX documents share the same source-of-truth principles: secure-by-default execution, least privilege, explicit scope for cybersecurity actions, model-provider independence, verification before completion, auditable evidence, and reversible changes. When documents conflict, the Security &amp; Access Control and Technical Architecture documents govern implementation constraints; the PRD governs product behavior; the Runbook governs operational release procedures.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