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0891B2"/>
          <w:spacing w:val="200"/>
          <w:sz w:val="24"/>
          <w:szCs w:val="24"/>
        </w:rPr>
        <w:t xml:space="preserve">ZERO TO AGENT</w:t>
      </w:r>
    </w:p>
    <w:p>
      <w:pPr>
        <w:spacing w:after="200"/>
        <w:jc w:val="center"/>
      </w:pPr>
      <w:r>
        <w:rPr>
          <w:rFonts w:ascii="Arial" w:cs="Arial" w:eastAsia="Arial" w:hAnsi="Arial"/>
          <w:b/>
          <w:bCs/>
          <w:color w:val="1A1A2E"/>
          <w:sz w:val="52"/>
          <w:szCs w:val="52"/>
        </w:rPr>
        <w:t xml:space="preserve">Workshop Market Analysis</w:t>
      </w:r>
    </w:p>
    <w:p>
      <w:pPr>
        <w:spacing w:after="80"/>
        <w:jc w:val="center"/>
      </w:pPr>
      <w:r>
        <w:rPr>
          <w:rFonts w:ascii="Arial" w:cs="Arial" w:eastAsia="Arial" w:hAnsi="Arial"/>
          <w:color w:val="666666"/>
          <w:sz w:val="26"/>
          <w:szCs w:val="26"/>
        </w:rPr>
        <w:t xml:space="preserve">Psychological Audience Analysis &amp; Ideal Niche Targeting</w:t>
      </w:r>
    </w:p>
    <w:p>
      <w:pPr>
        <w:spacing w:after="80"/>
        <w:jc w:val="center"/>
      </w:pPr>
      <w:r>
        <w:rPr>
          <w:rFonts w:ascii="Arial" w:cs="Arial" w:eastAsia="Arial" w:hAnsi="Arial"/>
          <w:color w:val="0891B2"/>
          <w:sz w:val="22"/>
          <w:szCs w:val="22"/>
        </w:rPr>
        <w:t xml:space="preserve">Toronto / GTA  •  $50–100M Revenue  •  20–100 Employees</w:t>
      </w:r>
    </w:p>
    <w:p>
      <w:pPr>
        <w:spacing w:after="600"/>
      </w:pPr>
    </w:p>
    <w:p>
      <w:pPr>
        <w:spacing w:after="60"/>
        <w:jc w:val="center"/>
      </w:pPr>
      <w:r>
        <w:rPr>
          <w:rFonts w:ascii="Arial" w:cs="Arial" w:eastAsia="Arial" w:hAnsi="Arial"/>
          <w:color w:val="666666"/>
          <w:sz w:val="22"/>
          <w:szCs w:val="22"/>
        </w:rPr>
        <w:t xml:space="preserve">Prepared for AR Sajid &amp; Zero to Agent</w:t>
      </w:r>
    </w:p>
    <w:p>
      <w:pPr>
        <w:jc w:val="center"/>
      </w:pPr>
      <w:r>
        <w:rPr>
          <w:rFonts w:ascii="Arial" w:cs="Arial" w:eastAsia="Arial" w:hAnsi="Arial"/>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rPr>
          <w:rFonts w:ascii="Arial" w:cs="Arial" w:eastAsia="Arial" w:hAnsi="Arial"/>
          <w:color w:val="444444"/>
          <w:sz w:val="22"/>
          <w:szCs w:val="22"/>
        </w:rPr>
        <w:t xml:space="preserve">This analysis deconstructs the February 13, 2026 workshop session delivered to a consumer electronics wholesale company in the GTA. By examining </w:t>
      </w:r>
      <w:r>
        <w:rPr>
          <w:rFonts w:ascii="Arial" w:cs="Arial" w:eastAsia="Arial" w:hAnsi="Arial"/>
          <w:b/>
          <w:bCs/>
          <w:color w:val="333333"/>
          <w:sz w:val="22"/>
          <w:szCs w:val="22"/>
        </w:rPr>
        <w:t xml:space="preserve">audience psychology, engagement triggers, and pain-point alignment</w:t>
      </w:r>
      <w:r>
        <w:rPr>
          <w:rFonts w:ascii="Arial" w:cs="Arial" w:eastAsia="Arial" w:hAnsi="Arial"/>
          <w:color w:val="444444"/>
          <w:sz w:val="22"/>
          <w:szCs w:val="22"/>
        </w:rPr>
        <w:t xml:space="preserve">, we identify which Toronto-area industries and company profiles would extract the highest value from the Zero to Agent AI training workshop.</w:t>
      </w:r>
    </w:p>
    <w:p>
      <w:pPr>
        <w:spacing w:after="160"/>
      </w:pPr>
      <w:r>
        <w:rPr>
          <w:rFonts w:ascii="Arial" w:cs="Arial" w:eastAsia="Arial" w:hAnsi="Arial"/>
          <w:b/>
          <w:bCs/>
          <w:color w:val="333333"/>
          <w:sz w:val="22"/>
          <w:szCs w:val="22"/>
        </w:rPr>
        <w:t xml:space="preserve">Key Finding: </w:t>
      </w:r>
      <w:r>
        <w:rPr>
          <w:rFonts w:ascii="Arial" w:cs="Arial" w:eastAsia="Arial" w:hAnsi="Arial"/>
          <w:color w:val="444444"/>
          <w:sz w:val="22"/>
          <w:szCs w:val="22"/>
        </w:rPr>
        <w:t xml:space="preserve">The workshop’s strongest moments occurred when presenters demonstrated </w:t>
      </w:r>
      <w:r>
        <w:rPr>
          <w:rFonts w:ascii="Arial" w:cs="Arial" w:eastAsia="Arial" w:hAnsi="Arial"/>
          <w:b/>
          <w:bCs/>
          <w:color w:val="0891B2"/>
          <w:sz w:val="22"/>
          <w:szCs w:val="22"/>
        </w:rPr>
        <w:t xml:space="preserve">live, specific business workflows</w:t>
      </w:r>
      <w:r>
        <w:rPr>
          <w:rFonts w:ascii="Arial" w:cs="Arial" w:eastAsia="Arial" w:hAnsi="Arial"/>
          <w:color w:val="444444"/>
          <w:sz w:val="22"/>
          <w:szCs w:val="22"/>
        </w:rPr>
        <w:t xml:space="preserve"> (Amazon Seller Central extraction, Best Buy pricing scrape) rather than theoretical AI concepts. The ideal customer is a </w:t>
      </w:r>
      <w:r>
        <w:rPr>
          <w:rFonts w:ascii="Arial" w:cs="Arial" w:eastAsia="Arial" w:hAnsi="Arial"/>
          <w:b/>
          <w:bCs/>
          <w:color w:val="333333"/>
          <w:sz w:val="22"/>
          <w:szCs w:val="22"/>
        </w:rPr>
        <w:t xml:space="preserve">high-revenue-per-employee distribution or wholesale company</w:t>
      </w:r>
      <w:r>
        <w:rPr>
          <w:rFonts w:ascii="Arial" w:cs="Arial" w:eastAsia="Arial" w:hAnsi="Arial"/>
          <w:color w:val="444444"/>
          <w:sz w:val="22"/>
          <w:szCs w:val="22"/>
        </w:rPr>
        <w:t xml:space="preserve"> with multi-channel complexity, manual operational bottlenecks, and a leadership team that is curious but non-technical.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3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Highest Engagement Moment</w:t>
            </w:r>
          </w:p>
        </w:tc>
        <w:tc>
          <w:tcPr>
            <w:tcW w:type="dxa" w:w="61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Live Playwright demo scraping Best Buy pricing and Amazon Seller Central P&amp;L extraction</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Lowest Engagement</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Abstract AI taxonomy slides (ML → Deep Learning → GenAI stack)</w:t>
            </w:r>
          </w:p>
        </w:tc>
      </w:tr>
      <w:tr>
        <w:tc>
          <w:tcPr>
            <w:tcW w:type="dxa" w:w="3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Audience Questions</w:t>
            </w:r>
          </w:p>
        </w:tc>
        <w:tc>
          <w:tcPr>
            <w:tcW w:type="dxa" w:w="61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100% centered on their specific operational pain points (pricing, returns, marketplace management)</w:t>
            </w:r>
          </w:p>
        </w:tc>
      </w:tr>
      <w:tr>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Pivot Point</w:t>
            </w:r>
          </w:p>
        </w:tc>
        <w:tc>
          <w:tcPr>
            <w:tcW w:type="dxa" w:w="6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Presenters abandoned planned app-building workshop for live business tool demos</w:t>
            </w:r>
          </w:p>
        </w:tc>
      </w:tr>
      <w:tr>
        <w:tc>
          <w:tcPr>
            <w:tcW w:type="dxa" w:w="3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Revenue-per-Employee</w:t>
            </w:r>
          </w:p>
        </w:tc>
        <w:tc>
          <w:tcPr>
            <w:tcW w:type="dxa" w:w="61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$500K–$5M+ (distribution/wholesale profile)</w:t>
            </w:r>
          </w:p>
        </w:tc>
      </w:tr>
    </w:tbl>
    <w:p>
      <w:pPr>
        <w:spacing w:after="200"/>
      </w:pPr>
    </w:p>
    <w:p>
      <w:pPr>
        <w:pStyle w:val="Heading1"/>
      </w:pPr>
      <w:r>
        <w:t xml:space="preserve">Psychological Analysis of the Presentation</w:t>
      </w:r>
    </w:p>
    <w:p>
      <w:pPr>
        <w:pStyle w:val="Heading2"/>
      </w:pPr>
      <w:r>
        <w:t xml:space="preserve">Audience Engagement Pattern</w:t>
      </w:r>
    </w:p>
    <w:p>
      <w:pPr>
        <w:spacing w:after="160"/>
      </w:pPr>
      <w:r>
        <w:rPr>
          <w:rFonts w:ascii="Arial" w:cs="Arial" w:eastAsia="Arial" w:hAnsi="Arial"/>
          <w:color w:val="444444"/>
          <w:sz w:val="22"/>
          <w:szCs w:val="22"/>
        </w:rPr>
        <w:t xml:space="preserve">The transcript reveals a clear psychological engagement curve. The audience’s attention and participation followed a predictable pattern tied to </w:t>
      </w:r>
      <w:r>
        <w:rPr>
          <w:rFonts w:ascii="Arial" w:cs="Arial" w:eastAsia="Arial" w:hAnsi="Arial"/>
          <w:b/>
          <w:bCs/>
          <w:color w:val="333333"/>
          <w:sz w:val="22"/>
          <w:szCs w:val="22"/>
        </w:rPr>
        <w:t xml:space="preserve">perceived relevance to their daily operations</w:t>
      </w:r>
      <w:r>
        <w:rPr>
          <w:rFonts w:ascii="Arial" w:cs="Arial" w:eastAsia="Arial" w:hAnsi="Arial"/>
          <w:color w:val="444444"/>
          <w:sz w:val="22"/>
          <w:szCs w:val="22"/>
        </w:rPr>
        <w:t xml:space="preserve">.</w:t>
      </w:r>
    </w:p>
    <w:p>
      <w:pPr>
        <w:pStyle w:val="Heading3"/>
      </w:pPr>
      <w:r>
        <w:t xml:space="preserve">High-Engagement Triggers</w:t>
      </w:r>
    </w:p>
    <w:p>
      <w:pPr>
        <w:pStyle w:val="ListParagraph"/>
        <w:numPr>
          <w:ilvl w:val="0"/>
          <w:numId w:val="2"/>
        </w:numPr>
        <w:spacing w:after="80"/>
      </w:pPr>
      <w:r>
        <w:rPr>
          <w:rFonts w:ascii="Arial" w:cs="Arial" w:eastAsia="Arial" w:hAnsi="Arial"/>
          <w:b/>
          <w:bCs/>
          <w:color w:val="333333"/>
          <w:sz w:val="22"/>
          <w:szCs w:val="22"/>
        </w:rPr>
        <w:t xml:space="preserve">Concrete demonstrations: </w:t>
      </w:r>
      <w:r>
        <w:rPr>
          <w:rFonts w:ascii="Arial" w:cs="Arial" w:eastAsia="Arial" w:hAnsi="Arial"/>
          <w:color w:val="444444"/>
          <w:sz w:val="22"/>
          <w:szCs w:val="22"/>
        </w:rPr>
        <w:t xml:space="preserve">The moment the Playwright browser automation opened Amazon Seller Central and navigated autonomously, the audience shifted from passive listening to active questioning. Speaker D immediately asked about automating pricing and return claim filing.</w:t>
      </w:r>
    </w:p>
    <w:p>
      <w:pPr>
        <w:pStyle w:val="ListParagraph"/>
        <w:numPr>
          <w:ilvl w:val="0"/>
          <w:numId w:val="2"/>
        </w:numPr>
        <w:spacing w:after="80"/>
      </w:pPr>
      <w:r>
        <w:rPr>
          <w:rFonts w:ascii="Arial" w:cs="Arial" w:eastAsia="Arial" w:hAnsi="Arial"/>
          <w:b/>
          <w:bCs/>
          <w:color w:val="333333"/>
          <w:sz w:val="22"/>
          <w:szCs w:val="22"/>
        </w:rPr>
        <w:t xml:space="preserve">Their own data/systems: </w:t>
      </w:r>
      <w:r>
        <w:rPr>
          <w:rFonts w:ascii="Arial" w:cs="Arial" w:eastAsia="Arial" w:hAnsi="Arial"/>
          <w:color w:val="444444"/>
          <w:sz w:val="22"/>
          <w:szCs w:val="22"/>
        </w:rPr>
        <w:t xml:space="preserve">When the demo used a real Seller Central account, the audience could see themselves in the tool. Speaker D said: “We just give them instructions — go order history or change the price for the certain model.” This shows the leap from abstract to personal.</w:t>
      </w:r>
    </w:p>
    <w:p>
      <w:pPr>
        <w:pStyle w:val="ListParagraph"/>
        <w:numPr>
          <w:ilvl w:val="0"/>
          <w:numId w:val="2"/>
        </w:numPr>
        <w:spacing w:after="80"/>
      </w:pPr>
      <w:r>
        <w:rPr>
          <w:rFonts w:ascii="Arial" w:cs="Arial" w:eastAsia="Arial" w:hAnsi="Arial"/>
          <w:b/>
          <w:bCs/>
          <w:color w:val="333333"/>
          <w:sz w:val="22"/>
          <w:szCs w:val="22"/>
        </w:rPr>
        <w:t xml:space="preserve">Financial pain points: </w:t>
      </w:r>
      <w:r>
        <w:rPr>
          <w:rFonts w:ascii="Arial" w:cs="Arial" w:eastAsia="Arial" w:hAnsi="Arial"/>
          <w:color w:val="444444"/>
          <w:sz w:val="22"/>
          <w:szCs w:val="22"/>
        </w:rPr>
        <w:t xml:space="preserve">Every unprompted audience question related to revenue leakage: pricing lag on Best Buy, unverified Amazon returns, inability to automate across marketplaces. These are cost-of-inaction problems.</w:t>
      </w:r>
    </w:p>
    <w:p>
      <w:pPr>
        <w:pStyle w:val="ListParagraph"/>
        <w:numPr>
          <w:ilvl w:val="0"/>
          <w:numId w:val="2"/>
        </w:numPr>
        <w:spacing w:after="80"/>
      </w:pPr>
      <w:r>
        <w:rPr>
          <w:rFonts w:ascii="Arial" w:cs="Arial" w:eastAsia="Arial" w:hAnsi="Arial"/>
          <w:b/>
          <w:bCs/>
          <w:color w:val="333333"/>
          <w:sz w:val="22"/>
          <w:szCs w:val="22"/>
        </w:rPr>
        <w:t xml:space="preserve">Relatable analogies: </w:t>
      </w:r>
      <w:r>
        <w:rPr>
          <w:rFonts w:ascii="Arial" w:cs="Arial" w:eastAsia="Arial" w:hAnsi="Arial"/>
          <w:color w:val="444444"/>
          <w:sz w:val="22"/>
          <w:szCs w:val="22"/>
        </w:rPr>
        <w:t xml:space="preserve">Speaker A’s analogies (drinking chai from a teacup vs. glass, race car constraints, helicopter for commuting) created comprehension bridges that the audience could anchor to.</w:t>
      </w:r>
    </w:p>
    <w:p>
      <w:pPr>
        <w:pStyle w:val="Heading3"/>
      </w:pPr>
      <w:r>
        <w:t xml:space="preserve">Low-Engagement Signals</w:t>
      </w:r>
    </w:p>
    <w:p>
      <w:pPr>
        <w:pStyle w:val="ListParagraph"/>
        <w:numPr>
          <w:ilvl w:val="0"/>
          <w:numId w:val="2"/>
        </w:numPr>
        <w:spacing w:after="80"/>
      </w:pPr>
      <w:r>
        <w:rPr>
          <w:rFonts w:ascii="Arial" w:cs="Arial" w:eastAsia="Arial" w:hAnsi="Arial"/>
          <w:b/>
          <w:bCs/>
          <w:color w:val="333333"/>
          <w:sz w:val="22"/>
          <w:szCs w:val="22"/>
        </w:rPr>
        <w:t xml:space="preserve">AI taxonomy ladder (ML → Deep Learning → GenAI → LLMs): </w:t>
      </w:r>
      <w:r>
        <w:rPr>
          <w:rFonts w:ascii="Arial" w:cs="Arial" w:eastAsia="Arial" w:hAnsi="Arial"/>
          <w:color w:val="444444"/>
          <w:sz w:val="22"/>
          <w:szCs w:val="22"/>
        </w:rPr>
        <w:t xml:space="preserve">This 10+ minute section had zero audience questions. It was educational but not actionable. The audience didn’t need to understand transformer architecture — they needed to see what the tool does.</w:t>
      </w:r>
    </w:p>
    <w:p>
      <w:pPr>
        <w:pStyle w:val="ListParagraph"/>
        <w:numPr>
          <w:ilvl w:val="0"/>
          <w:numId w:val="2"/>
        </w:numPr>
        <w:spacing w:after="80"/>
      </w:pPr>
      <w:r>
        <w:rPr>
          <w:rFonts w:ascii="Arial" w:cs="Arial" w:eastAsia="Arial" w:hAnsi="Arial"/>
          <w:b/>
          <w:bCs/>
          <w:color w:val="333333"/>
          <w:sz w:val="22"/>
          <w:szCs w:val="22"/>
        </w:rPr>
        <w:t xml:space="preserve">Token efficiency / prompt optimization: </w:t>
      </w:r>
      <w:r>
        <w:rPr>
          <w:rFonts w:ascii="Arial" w:cs="Arial" w:eastAsia="Arial" w:hAnsi="Arial"/>
          <w:color w:val="444444"/>
          <w:sz w:val="22"/>
          <w:szCs w:val="22"/>
        </w:rPr>
        <w:t xml:space="preserve">Conceptually important but too abstract for this audience. The audience never asked about tokens. Their questions were about outcomes, not mechanics.</w:t>
      </w:r>
    </w:p>
    <w:p>
      <w:pPr>
        <w:pStyle w:val="ListParagraph"/>
        <w:numPr>
          <w:ilvl w:val="0"/>
          <w:numId w:val="2"/>
        </w:numPr>
        <w:spacing w:after="80"/>
      </w:pPr>
      <w:r>
        <w:rPr>
          <w:rFonts w:ascii="Arial" w:cs="Arial" w:eastAsia="Arial" w:hAnsi="Arial"/>
          <w:b/>
          <w:bCs/>
          <w:color w:val="333333"/>
          <w:sz w:val="22"/>
          <w:szCs w:val="22"/>
        </w:rPr>
        <w:t xml:space="preserve">Context window explanation: </w:t>
      </w:r>
      <w:r>
        <w:rPr>
          <w:rFonts w:ascii="Arial" w:cs="Arial" w:eastAsia="Arial" w:hAnsi="Arial"/>
          <w:color w:val="444444"/>
          <w:sz w:val="22"/>
          <w:szCs w:val="22"/>
        </w:rPr>
        <w:t xml:space="preserve">Speaker B’s explanation of context degradation was technically sound but had no anchor to the audience’s workflow. A better frame: “If you paste your entire product catalog into ChatGPT, it forgets the first 200 products by the time it reads the last 200.”</w:t>
      </w:r>
    </w:p>
    <w:p>
      <w:pPr>
        <w:pStyle w:val="Heading3"/>
      </w:pPr>
      <w:r>
        <w:t xml:space="preserve">The Critical Pivot</w:t>
      </w:r>
    </w:p>
    <w:p>
      <w:pPr>
        <w:spacing w:after="160"/>
      </w:pPr>
      <w:r>
        <w:rPr>
          <w:rFonts w:ascii="Arial" w:cs="Arial" w:eastAsia="Arial" w:hAnsi="Arial"/>
          <w:color w:val="444444"/>
          <w:sz w:val="22"/>
          <w:szCs w:val="22"/>
        </w:rPr>
        <w:t xml:space="preserve">The most psychologically significant moment was when the presenters </w:t>
      </w:r>
      <w:r>
        <w:rPr>
          <w:rFonts w:ascii="Arial" w:cs="Arial" w:eastAsia="Arial" w:hAnsi="Arial"/>
          <w:b/>
          <w:bCs/>
          <w:color w:val="333333"/>
          <w:sz w:val="22"/>
          <w:szCs w:val="22"/>
        </w:rPr>
        <w:t xml:space="preserve">abandoned the planned curriculum</w:t>
      </w:r>
      <w:r>
        <w:rPr>
          <w:rFonts w:ascii="Arial" w:cs="Arial" w:eastAsia="Arial" w:hAnsi="Arial"/>
          <w:color w:val="444444"/>
          <w:sz w:val="22"/>
          <w:szCs w:val="22"/>
        </w:rPr>
        <w:t xml:space="preserve"> (building a WholesaleTech Hub app) and shifted to live demonstrations of business tool automation. Speaker B said: “What kind of use cases do you guys have that you would like us to cover?” This question unlocked a flood of specific operational problems from Speaker D.</w:t>
      </w:r>
    </w:p>
    <w:p>
      <w:pPr>
        <w:spacing w:after="160"/>
      </w:pPr>
      <w:r>
        <w:rPr>
          <w:rFonts w:ascii="Arial" w:cs="Arial" w:eastAsia="Arial" w:hAnsi="Arial"/>
          <w:color w:val="444444"/>
          <w:sz w:val="22"/>
          <w:szCs w:val="22"/>
        </w:rPr>
        <w:t xml:space="preserve">This confirms a core insight: </w:t>
      </w:r>
      <w:r>
        <w:rPr>
          <w:rFonts w:ascii="Arial" w:cs="Arial" w:eastAsia="Arial" w:hAnsi="Arial"/>
          <w:b/>
          <w:bCs/>
          <w:color w:val="333333"/>
          <w:sz w:val="22"/>
          <w:szCs w:val="22"/>
        </w:rPr>
        <w:t xml:space="preserve">the ideal workshop customer doesn’t want to learn AI theory. They want to see their problems solved in real-time.</w:t>
      </w:r>
      <w:r>
        <w:rPr>
          <w:rFonts w:ascii="Arial" w:cs="Arial" w:eastAsia="Arial" w:hAnsi="Arial"/>
          <w:color w:val="444444"/>
          <w:sz w:val="22"/>
          <w:szCs w:val="22"/>
        </w:rPr>
        <w:t xml:space="preserve"> The training must be structured around </w:t>
      </w:r>
      <w:r>
        <w:rPr>
          <w:rFonts w:ascii="Arial" w:cs="Arial" w:eastAsia="Arial" w:hAnsi="Arial"/>
          <w:b/>
          <w:bCs/>
          <w:color w:val="0891B2"/>
          <w:sz w:val="22"/>
          <w:szCs w:val="22"/>
        </w:rPr>
        <w:t xml:space="preserve">live problem-solving sessions</w:t>
      </w:r>
      <w:r>
        <w:rPr>
          <w:rFonts w:ascii="Arial" w:cs="Arial" w:eastAsia="Arial" w:hAnsi="Arial"/>
          <w:color w:val="444444"/>
          <w:sz w:val="22"/>
          <w:szCs w:val="22"/>
        </w:rPr>
        <w:t xml:space="preserve"> where the presenter uses AI tools on the client’s actual systems, data, and workflows.</w:t>
      </w:r>
    </w:p>
    <w:p>
      <w:pPr>
        <w:pStyle w:val="Heading2"/>
      </w:pPr>
      <w:r>
        <w:t xml:space="preserve">Audience Psychographic Profile</w:t>
      </w:r>
    </w:p>
    <w:p>
      <w:pPr>
        <w:spacing w:after="160"/>
      </w:pPr>
      <w:r>
        <w:rPr>
          <w:rFonts w:ascii="Arial" w:cs="Arial" w:eastAsia="Arial" w:hAnsi="Arial"/>
          <w:color w:val="444444"/>
          <w:sz w:val="22"/>
          <w:szCs w:val="22"/>
        </w:rPr>
        <w:t xml:space="preserve">The transcript reveals a specific buyer psychology that maps to a repeatable customer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Trait</w:t>
            </w:r>
          </w:p>
        </w:tc>
        <w:tc>
          <w:tcPr>
            <w:tcW w:type="dxa" w:w="4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Evidence from Transcript</w:t>
            </w:r>
          </w:p>
        </w:tc>
        <w:tc>
          <w:tcPr>
            <w:tcW w:type="dxa" w:w="3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Implication</w:t>
            </w:r>
          </w:p>
        </w:tc>
      </w:tr>
      <w:tr>
        <w:tc>
          <w:tcPr>
            <w:tcW w:type="dxa" w:w="2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Pragmatic, not curious</w:t>
            </w:r>
          </w:p>
        </w:tc>
        <w:tc>
          <w:tcPr>
            <w:tcW w:type="dxa" w:w="4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Zero questions about how AI works internally. All questions about what it can do for their business.</w:t>
            </w:r>
          </w:p>
        </w:tc>
        <w:tc>
          <w:tcPr>
            <w:tcW w:type="dxa" w:w="33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Lead with ROI and demos, not education.</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Cost-sensitive operators</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Speaker D’s pain points are all about revenue leakage: pricing lag, unverified returns, manual processes eating margin.</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Frame AI as cost recovery, not innovation.</w:t>
            </w:r>
          </w:p>
        </w:tc>
      </w:tr>
      <w:tr>
        <w:tc>
          <w:tcPr>
            <w:tcW w:type="dxa" w:w="2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Relationship-driven</w:t>
            </w:r>
          </w:p>
        </w:tc>
        <w:tc>
          <w:tcPr>
            <w:tcW w:type="dxa" w:w="4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Speaker A advised against AI for supplier/dealer communication: “Your whole business is built on personal connection.” Audience agreed.</w:t>
            </w:r>
          </w:p>
        </w:tc>
        <w:tc>
          <w:tcPr>
            <w:tcW w:type="dxa" w:w="33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Position AI for back-office, not customer-facing.</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Hands-on learners</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Engagement spiked during live demos. Dropped during slides. Speaker D started giving specific instructions to the AI during the demo.</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Workshop format must be 70% live demo, 30% context.</w:t>
            </w:r>
          </w:p>
        </w:tc>
      </w:tr>
      <w:tr>
        <w:tc>
          <w:tcPr>
            <w:tcW w:type="dxa" w:w="2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Early-stage AI adopters</w:t>
            </w:r>
          </w:p>
        </w:tc>
        <w:tc>
          <w:tcPr>
            <w:tcW w:type="dxa" w:w="4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Speaker D mentioned using ChatGPT for ads for only 2 weeks. No existing AI infrastructure.</w:t>
            </w:r>
          </w:p>
        </w:tc>
        <w:tc>
          <w:tcPr>
            <w:tcW w:type="dxa" w:w="33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Start with quick wins. Don’t overwhelm with advanced concepts.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Multi-lingual comfort</w:t>
            </w:r>
          </w:p>
        </w:tc>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Discussion about using AI in Urdu. Speaker C mentioned Grok in Tesla responding in native language.</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Highlight AI’s multi-language capability for diverse workforces.</w:t>
            </w:r>
          </w:p>
        </w:tc>
      </w:tr>
    </w:tbl>
    <w:p>
      <w:pPr>
        <w:spacing w:after="100"/>
      </w:pPr>
    </w:p>
    <w:p>
      <w:r>
        <w:br w:type="page"/>
      </w:r>
    </w:p>
    <w:p>
      <w:pPr>
        <w:pStyle w:val="Heading1"/>
      </w:pPr>
      <w:r>
        <w:t xml:space="preserve">Ideal Niche Analysis</w:t>
      </w:r>
    </w:p>
    <w:p>
      <w:pPr>
        <w:spacing w:after="160"/>
      </w:pPr>
      <w:r>
        <w:rPr>
          <w:rFonts w:ascii="Arial" w:cs="Arial" w:eastAsia="Arial" w:hAnsi="Arial"/>
          <w:color w:val="444444"/>
          <w:sz w:val="22"/>
          <w:szCs w:val="22"/>
        </w:rPr>
        <w:t xml:space="preserve">Based on the psychological profile above and Toronto market research, we evaluated industries against five criteria: </w:t>
      </w:r>
      <w:r>
        <w:rPr>
          <w:rFonts w:ascii="Arial" w:cs="Arial" w:eastAsia="Arial" w:hAnsi="Arial"/>
          <w:b/>
          <w:bCs/>
          <w:color w:val="333333"/>
          <w:sz w:val="22"/>
          <w:szCs w:val="22"/>
        </w:rPr>
        <w:t xml:space="preserve">(1) Pain-Point Alignment</w:t>
      </w:r>
      <w:r>
        <w:rPr>
          <w:rFonts w:ascii="Arial" w:cs="Arial" w:eastAsia="Arial" w:hAnsi="Arial"/>
          <w:color w:val="444444"/>
          <w:sz w:val="22"/>
          <w:szCs w:val="22"/>
        </w:rPr>
        <w:t xml:space="preserve"> — do they have the same operational bottlenecks? </w:t>
      </w:r>
      <w:r>
        <w:rPr>
          <w:rFonts w:ascii="Arial" w:cs="Arial" w:eastAsia="Arial" w:hAnsi="Arial"/>
          <w:b/>
          <w:bCs/>
          <w:color w:val="333333"/>
          <w:sz w:val="22"/>
          <w:szCs w:val="22"/>
        </w:rPr>
        <w:t xml:space="preserve">(2) Revenue-per-Employee Ratio</w:t>
      </w:r>
      <w:r>
        <w:rPr>
          <w:rFonts w:ascii="Arial" w:cs="Arial" w:eastAsia="Arial" w:hAnsi="Arial"/>
          <w:color w:val="444444"/>
          <w:sz w:val="22"/>
          <w:szCs w:val="22"/>
        </w:rPr>
        <w:t xml:space="preserve"> — are they lean enough that AI creates a multiplier? </w:t>
      </w:r>
      <w:r>
        <w:rPr>
          <w:rFonts w:ascii="Arial" w:cs="Arial" w:eastAsia="Arial" w:hAnsi="Arial"/>
          <w:b/>
          <w:bCs/>
          <w:color w:val="333333"/>
          <w:sz w:val="22"/>
          <w:szCs w:val="22"/>
        </w:rPr>
        <w:t xml:space="preserve">(3) Multi-Channel Complexity</w:t>
      </w:r>
      <w:r>
        <w:rPr>
          <w:rFonts w:ascii="Arial" w:cs="Arial" w:eastAsia="Arial" w:hAnsi="Arial"/>
          <w:color w:val="444444"/>
          <w:sz w:val="22"/>
          <w:szCs w:val="22"/>
        </w:rPr>
        <w:t xml:space="preserve"> — do they operate across multiple platforms/marketplaces? </w:t>
      </w:r>
      <w:r>
        <w:rPr>
          <w:rFonts w:ascii="Arial" w:cs="Arial" w:eastAsia="Arial" w:hAnsi="Arial"/>
          <w:b/>
          <w:bCs/>
          <w:color w:val="333333"/>
          <w:sz w:val="22"/>
          <w:szCs w:val="22"/>
        </w:rPr>
        <w:t xml:space="preserve">(4) GTA Density</w:t>
      </w:r>
      <w:r>
        <w:rPr>
          <w:rFonts w:ascii="Arial" w:cs="Arial" w:eastAsia="Arial" w:hAnsi="Arial"/>
          <w:color w:val="444444"/>
          <w:sz w:val="22"/>
          <w:szCs w:val="22"/>
        </w:rPr>
        <w:t xml:space="preserve"> — is there a critical mass of companies in the Toronto area? </w:t>
      </w:r>
      <w:r>
        <w:rPr>
          <w:rFonts w:ascii="Arial" w:cs="Arial" w:eastAsia="Arial" w:hAnsi="Arial"/>
          <w:b/>
          <w:bCs/>
          <w:color w:val="333333"/>
          <w:sz w:val="22"/>
          <w:szCs w:val="22"/>
        </w:rPr>
        <w:t xml:space="preserve">(5) Budget Accessibility</w:t>
      </w:r>
      <w:r>
        <w:rPr>
          <w:rFonts w:ascii="Arial" w:cs="Arial" w:eastAsia="Arial" w:hAnsi="Arial"/>
          <w:color w:val="444444"/>
          <w:sz w:val="22"/>
          <w:szCs w:val="22"/>
        </w:rPr>
        <w:t xml:space="preserve"> — can they afford premium training services?</w:t>
      </w:r>
    </w:p>
    <w:p>
      <w:pPr>
        <w:pStyle w:val="Heading2"/>
      </w:pPr>
      <w:r>
        <w:t xml:space="preserve">Niche Scoring Matrix</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300"/>
        <w:gridCol w:w="1200"/>
        <w:gridCol w:w="1000"/>
        <w:gridCol w:w="660"/>
      </w:tblGrid>
      <w:tr>
        <w:trPr>
          <w:tblHeader/>
        </w:trPr>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 Niche</w:t>
            </w:r>
          </w:p>
        </w:tc>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Alignment</w:t>
            </w:r>
          </w:p>
        </w:tc>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Rev/Employee</w:t>
            </w:r>
          </w:p>
        </w:tc>
        <w:tc>
          <w:tcPr>
            <w:tcW w:type="dxa" w:w="13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Multi-Channel</w:t>
            </w:r>
          </w:p>
        </w:tc>
        <w:tc>
          <w:tcPr>
            <w:tcW w:type="dxa" w:w="1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GTA Density</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Budget</w:t>
            </w:r>
          </w:p>
        </w:tc>
        <w:tc>
          <w:tcPr>
            <w:tcW w:type="dxa" w:w="6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333333"/>
                <w:sz w:val="22"/>
                <w:szCs w:val="22"/>
              </w:rPr>
              <w:t xml:space="preserve">Consumer Electronics
Wholesale/Distribution</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10/10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10/10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2"/>
                <w:szCs w:val="22"/>
              </w:rPr>
              <w:t xml:space="preserve">45/50</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2"/>
                <w:szCs w:val="22"/>
              </w:rPr>
              <w:t xml:space="preserve">Automotive Parts
Distribution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2"/>
                <w:szCs w:val="22"/>
              </w:rPr>
              <w:t xml:space="preserve">43/50</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333333"/>
                <w:sz w:val="22"/>
                <w:szCs w:val="22"/>
              </w:rPr>
              <w:t xml:space="preserve">Food &amp; Beverage
Distribution</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2"/>
                <w:szCs w:val="22"/>
              </w:rPr>
              <w:t xml:space="preserve">41/50</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2"/>
                <w:szCs w:val="22"/>
              </w:rPr>
              <w:t xml:space="preserve">Building Materials
&amp; Supply Distribution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2"/>
                <w:szCs w:val="22"/>
              </w:rPr>
              <w:t xml:space="preserve">40/50</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333333"/>
                <w:sz w:val="22"/>
                <w:szCs w:val="22"/>
              </w:rPr>
              <w:t xml:space="preserve">Healthcare &amp; Medical
Supply Distribution</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2"/>
                <w:szCs w:val="22"/>
              </w:rPr>
              <w:t xml:space="preserve">40/50</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2"/>
                <w:szCs w:val="22"/>
              </w:rPr>
              <w:t xml:space="preserve">Import/Export &amp;
Trading Companies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2"/>
                <w:szCs w:val="22"/>
              </w:rPr>
              <w:t xml:space="preserve">40/50</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333333"/>
                <w:sz w:val="22"/>
                <w:szCs w:val="22"/>
              </w:rPr>
              <w:t xml:space="preserve">Logistics &amp; Freight
Brokerage</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D97706"/>
                <w:sz w:val="20"/>
                <w:szCs w:val="20"/>
              </w:rPr>
              <w:t xml:space="preserve">6/10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2"/>
                <w:szCs w:val="22"/>
              </w:rPr>
              <w:t xml:space="preserve">38/50</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2"/>
                <w:szCs w:val="22"/>
              </w:rPr>
              <w:t xml:space="preserve">Industrial
Manufacturing</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97706"/>
                <w:sz w:val="20"/>
                <w:szCs w:val="20"/>
              </w:rPr>
              <w:t xml:space="preserve">6/10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97706"/>
                <w:sz w:val="20"/>
                <w:szCs w:val="20"/>
              </w:rPr>
              <w:t xml:space="preserve">6/10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97706"/>
                <w:sz w:val="20"/>
                <w:szCs w:val="20"/>
              </w:rPr>
              <w:t xml:space="preserve">5/10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97706"/>
                <w:sz w:val="22"/>
                <w:szCs w:val="22"/>
              </w:rPr>
              <w:t xml:space="preserve">32/50</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333333"/>
                <w:sz w:val="22"/>
                <w:szCs w:val="22"/>
              </w:rPr>
              <w:t xml:space="preserve">Professional Services
&amp; Consulting</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DC2626"/>
                <w:sz w:val="20"/>
                <w:szCs w:val="20"/>
              </w:rPr>
              <w:t xml:space="preserve">4/10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D97706"/>
                <w:sz w:val="20"/>
                <w:szCs w:val="20"/>
              </w:rPr>
              <w:t xml:space="preserve">5/10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DC2626"/>
                <w:sz w:val="20"/>
                <w:szCs w:val="20"/>
              </w:rPr>
              <w:t xml:space="preserve">3/10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b/>
                <w:bCs/>
                <w:color w:val="D97706"/>
                <w:sz w:val="22"/>
                <w:szCs w:val="22"/>
              </w:rPr>
              <w:t xml:space="preserve">29/50</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333333"/>
                <w:sz w:val="22"/>
                <w:szCs w:val="22"/>
              </w:rPr>
              <w:t xml:space="preserve">SaaS / Technology
Companies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C2626"/>
                <w:sz w:val="20"/>
                <w:szCs w:val="20"/>
              </w:rPr>
              <w:t xml:space="preserve">3/10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7/10</w:t>
            </w:r>
            <w:r>
              <w:rPr>
                <w:rFonts w:ascii="Arial" w:cs="Arial" w:eastAsia="Arial" w:hAnsi="Arial"/>
                <w:color w:val="666666"/>
                <w:sz w:val="20"/>
                <w:szCs w:val="20"/>
              </w:rPr>
              <w:t xml:space="preserve"> </w:t>
            </w:r>
          </w:p>
        </w:tc>
        <w:tc>
          <w:tcPr>
            <w:tcW w:type="dxa" w:w="13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C2626"/>
                <w:sz w:val="20"/>
                <w:szCs w:val="20"/>
              </w:rPr>
              <w:t xml:space="preserve">3/10</w:t>
            </w:r>
            <w:r>
              <w:rPr>
                <w:rFonts w:ascii="Arial" w:cs="Arial" w:eastAsia="Arial" w:hAnsi="Arial"/>
                <w:color w:val="666666"/>
                <w:sz w:val="20"/>
                <w:szCs w:val="20"/>
              </w:rPr>
              <w:t xml:space="preserve"> </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891B2"/>
                <w:sz w:val="20"/>
                <w:szCs w:val="20"/>
              </w:rPr>
              <w:t xml:space="preserve">8/10</w:t>
            </w:r>
            <w:r>
              <w:rPr>
                <w:rFonts w:ascii="Arial" w:cs="Arial" w:eastAsia="Arial" w:hAnsi="Arial"/>
                <w:color w:val="666666"/>
                <w:sz w:val="20"/>
                <w:szCs w:val="20"/>
              </w:rPr>
              <w:t xml:space="preserve"> </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59669"/>
                <w:sz w:val="20"/>
                <w:szCs w:val="20"/>
              </w:rPr>
              <w:t xml:space="preserve">9/10</w:t>
            </w:r>
            <w:r>
              <w:rPr>
                <w:rFonts w:ascii="Arial" w:cs="Arial" w:eastAsia="Arial" w:hAnsi="Arial"/>
                <w:color w:val="666666"/>
                <w:sz w:val="20"/>
                <w:szCs w:val="20"/>
              </w:rPr>
              <w:t xml:space="preserve"> </w:t>
            </w:r>
          </w:p>
        </w:tc>
        <w:tc>
          <w:tcPr>
            <w:tcW w:type="dxa" w:w="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D97706"/>
                <w:sz w:val="22"/>
                <w:szCs w:val="22"/>
              </w:rPr>
              <w:t xml:space="preserve">30/50</w:t>
            </w:r>
          </w:p>
        </w:tc>
      </w:tr>
    </w:tbl>
    <w:p>
      <w:pPr>
        <w:spacing w:after="200"/>
      </w:pPr>
    </w:p>
    <w:p>
      <w:pPr>
        <w:pStyle w:val="Heading2"/>
      </w:pPr>
      <w:r>
        <w:t xml:space="preserve">Top 5 Niches — Deep Dive</w:t>
      </w:r>
    </w:p>
    <w:p>
      <w:pPr>
        <w:pStyle w:val="Heading3"/>
      </w:pPr>
      <w:r>
        <w:t xml:space="preserve">1. Consumer Electronics Wholesale &amp; Distribution</w:t>
      </w:r>
    </w:p>
    <w:p>
      <w:pPr>
        <w:spacing w:after="160"/>
      </w:pPr>
      <w:r>
        <w:rPr>
          <w:rFonts w:ascii="Arial" w:cs="Arial" w:eastAsia="Arial" w:hAnsi="Arial"/>
          <w:b/>
          <w:bCs/>
          <w:color w:val="333333"/>
          <w:sz w:val="22"/>
          <w:szCs w:val="22"/>
        </w:rPr>
        <w:t xml:space="preserve">Score: 45/50  |  </w:t>
      </w:r>
      <w:r>
        <w:rPr>
          <w:rFonts w:ascii="Arial" w:cs="Arial" w:eastAsia="Arial" w:hAnsi="Arial"/>
          <w:b/>
          <w:bCs/>
          <w:color w:val="0891B2"/>
          <w:sz w:val="22"/>
          <w:szCs w:val="22"/>
        </w:rPr>
        <w:t xml:space="preserve">Perfect Fit</w:t>
      </w:r>
    </w:p>
    <w:p>
      <w:pPr>
        <w:spacing w:after="160"/>
      </w:pPr>
      <w:r>
        <w:rPr>
          <w:rFonts w:ascii="Arial" w:cs="Arial" w:eastAsia="Arial" w:hAnsi="Arial"/>
          <w:color w:val="444444"/>
          <w:sz w:val="22"/>
          <w:szCs w:val="22"/>
        </w:rPr>
        <w:t xml:space="preserve">This is the niche you just delivered to — and the transcript proves the product-market fit is exceptional. Every pain point Speaker D raised (marketplace pricing, returns management, P&amp;L extraction) maps directly to your workshop content. The demo of Playwright automating Amazon Seller Central was the highest-engagement moment of the entire session.</w:t>
      </w:r>
    </w:p>
    <w:p>
      <w:pPr>
        <w:spacing w:after="160"/>
      </w:pPr>
      <w:r>
        <w:rPr>
          <w:rFonts w:ascii="Arial" w:cs="Arial" w:eastAsia="Arial" w:hAnsi="Arial"/>
          <w:b/>
          <w:bCs/>
          <w:color w:val="333333"/>
          <w:sz w:val="22"/>
          <w:szCs w:val="22"/>
        </w:rPr>
        <w:t xml:space="preserve">Why they buy: </w:t>
      </w:r>
      <w:r>
        <w:rPr>
          <w:rFonts w:ascii="Arial" w:cs="Arial" w:eastAsia="Arial" w:hAnsi="Arial"/>
          <w:color w:val="444444"/>
          <w:sz w:val="22"/>
          <w:szCs w:val="22"/>
        </w:rPr>
        <w:t xml:space="preserve">These companies operate across Amazon, Best Buy, eBay, and direct channels with razor-thin margins (1–5%). A 15-minute pricing lag on Best Buy means lost sales. Unverified returns mean revenue leakage. They have 2–3 staff dedicated solely to manual pricing updates. AI automation of these tasks is not a nice-to-have — it’s a direct cost recovery.</w:t>
      </w:r>
    </w:p>
    <w:p>
      <w:pPr>
        <w:spacing w:after="160"/>
      </w:pPr>
      <w:r>
        <w:rPr>
          <w:rFonts w:ascii="Arial" w:cs="Arial" w:eastAsia="Arial" w:hAnsi="Arial"/>
          <w:b/>
          <w:bCs/>
          <w:color w:val="333333"/>
          <w:sz w:val="22"/>
          <w:szCs w:val="22"/>
        </w:rPr>
        <w:t xml:space="preserve">GTA examples: </w:t>
      </w:r>
      <w:r>
        <w:rPr>
          <w:rFonts w:ascii="Arial" w:cs="Arial" w:eastAsia="Arial" w:hAnsi="Arial"/>
          <w:color w:val="444444"/>
          <w:sz w:val="22"/>
          <w:szCs w:val="22"/>
        </w:rPr>
        <w:t xml:space="preserve">NVU Electronics, Cellntell (Mississauga), Tech Vision Electronics (Scarborough), Staub Electronics, Electro Sonic (Markham)</w:t>
      </w:r>
    </w:p>
    <w:p>
      <w:pPr>
        <w:spacing w:after="160"/>
      </w:pPr>
      <w:r>
        <w:rPr>
          <w:rFonts w:ascii="Arial" w:cs="Arial" w:eastAsia="Arial" w:hAnsi="Arial"/>
          <w:b/>
          <w:bCs/>
          <w:color w:val="333333"/>
          <w:sz w:val="22"/>
          <w:szCs w:val="22"/>
        </w:rPr>
        <w:t xml:space="preserve">Workshop customization: </w:t>
      </w:r>
      <w:r>
        <w:rPr>
          <w:rFonts w:ascii="Arial" w:cs="Arial" w:eastAsia="Arial" w:hAnsi="Arial"/>
          <w:color w:val="444444"/>
          <w:sz w:val="22"/>
          <w:szCs w:val="22"/>
        </w:rPr>
        <w:t xml:space="preserve">Lead with the Amazon Seller Central / Best Buy demo. Show pricing automation, returns analysis, and P&amp;L extraction. This audience wants to see their exact systems being automated.</w:t>
      </w:r>
    </w:p>
    <w:p>
      <w:pPr>
        <w:pStyle w:val="Heading3"/>
      </w:pPr>
      <w:r>
        <w:t xml:space="preserve">2. Automotive Parts Distribution</w:t>
      </w:r>
    </w:p>
    <w:p>
      <w:pPr>
        <w:spacing w:after="160"/>
      </w:pPr>
      <w:r>
        <w:rPr>
          <w:rFonts w:ascii="Arial" w:cs="Arial" w:eastAsia="Arial" w:hAnsi="Arial"/>
          <w:b/>
          <w:bCs/>
          <w:color w:val="333333"/>
          <w:sz w:val="22"/>
          <w:szCs w:val="22"/>
        </w:rPr>
        <w:t xml:space="preserve">Score: 43/50  |  </w:t>
      </w:r>
      <w:r>
        <w:rPr>
          <w:rFonts w:ascii="Arial" w:cs="Arial" w:eastAsia="Arial" w:hAnsi="Arial"/>
          <w:b/>
          <w:bCs/>
          <w:color w:val="0891B2"/>
          <w:sz w:val="22"/>
          <w:szCs w:val="22"/>
        </w:rPr>
        <w:t xml:space="preserve">Excellent Fit</w:t>
      </w:r>
    </w:p>
    <w:p>
      <w:pPr>
        <w:spacing w:after="160"/>
      </w:pPr>
      <w:r>
        <w:rPr>
          <w:rFonts w:ascii="Arial" w:cs="Arial" w:eastAsia="Arial" w:hAnsi="Arial"/>
          <w:color w:val="444444"/>
          <w:sz w:val="22"/>
          <w:szCs w:val="22"/>
        </w:rPr>
        <w:t xml:space="preserve">Automotive parts distributors face nearly identical challenges: multi-marketplace pricing (Amazon, eBay, their own B2B portal), complex SKU management (make/model/year compatibility), and high return rates due to fitment issues. York Region alone has 250+ core automotive suppliers.</w:t>
      </w:r>
    </w:p>
    <w:p>
      <w:pPr>
        <w:spacing w:after="160"/>
      </w:pPr>
      <w:r>
        <w:rPr>
          <w:rFonts w:ascii="Arial" w:cs="Arial" w:eastAsia="Arial" w:hAnsi="Arial"/>
          <w:b/>
          <w:bCs/>
          <w:color w:val="333333"/>
          <w:sz w:val="22"/>
          <w:szCs w:val="22"/>
        </w:rPr>
        <w:t xml:space="preserve">Why they buy: </w:t>
      </w:r>
      <w:r>
        <w:rPr>
          <w:rFonts w:ascii="Arial" w:cs="Arial" w:eastAsia="Arial" w:hAnsi="Arial"/>
          <w:color w:val="444444"/>
          <w:sz w:val="22"/>
          <w:szCs w:val="22"/>
        </w:rPr>
        <w:t xml:space="preserve">SKU explosion is the core problem. A single brake pad has 200+ vehicle applications. Managing pricing, inventory, and listings across channels for 10,000+ SKUs with a team of 30–50 people is unsustainable without automation. AI-powered listing generation and dynamic pricing is a game-changer.</w:t>
      </w:r>
    </w:p>
    <w:p>
      <w:pPr>
        <w:spacing w:after="160"/>
      </w:pPr>
      <w:r>
        <w:rPr>
          <w:rFonts w:ascii="Arial" w:cs="Arial" w:eastAsia="Arial" w:hAnsi="Arial"/>
          <w:b/>
          <w:bCs/>
          <w:color w:val="333333"/>
          <w:sz w:val="22"/>
          <w:szCs w:val="22"/>
        </w:rPr>
        <w:t xml:space="preserve">GTA examples: </w:t>
      </w:r>
      <w:r>
        <w:rPr>
          <w:rFonts w:ascii="Arial" w:cs="Arial" w:eastAsia="Arial" w:hAnsi="Arial"/>
          <w:color w:val="444444"/>
          <w:sz w:val="22"/>
          <w:szCs w:val="22"/>
        </w:rPr>
        <w:t xml:space="preserve">Global Parts, Ahon Auto Parts (28+ years), Mega City Auto Parts, Carcone’s Auto Recycling, Parts Avatar</w:t>
      </w:r>
    </w:p>
    <w:p>
      <w:pPr>
        <w:spacing w:after="160"/>
      </w:pPr>
      <w:r>
        <w:rPr>
          <w:rFonts w:ascii="Arial" w:cs="Arial" w:eastAsia="Arial" w:hAnsi="Arial"/>
          <w:b/>
          <w:bCs/>
          <w:color w:val="333333"/>
          <w:sz w:val="22"/>
          <w:szCs w:val="22"/>
        </w:rPr>
        <w:t xml:space="preserve">Workshop customization: </w:t>
      </w:r>
      <w:r>
        <w:rPr>
          <w:rFonts w:ascii="Arial" w:cs="Arial" w:eastAsia="Arial" w:hAnsi="Arial"/>
          <w:color w:val="444444"/>
          <w:sz w:val="22"/>
          <w:szCs w:val="22"/>
        </w:rPr>
        <w:t xml:space="preserve">Replace the electronics examples with automotive parts. Demo SKU-to-listing generation, fitment-based pricing, and eBay Motors integration. Show how AI can cross-reference make/model/year data to auto-generate descriptions.</w:t>
      </w:r>
    </w:p>
    <w:p>
      <w:pPr>
        <w:pStyle w:val="Heading3"/>
      </w:pPr>
      <w:r>
        <w:t xml:space="preserve">3. Food &amp; Beverage Distribution</w:t>
      </w:r>
    </w:p>
    <w:p>
      <w:pPr>
        <w:spacing w:after="160"/>
      </w:pPr>
      <w:r>
        <w:rPr>
          <w:rFonts w:ascii="Arial" w:cs="Arial" w:eastAsia="Arial" w:hAnsi="Arial"/>
          <w:b/>
          <w:bCs/>
          <w:color w:val="333333"/>
          <w:sz w:val="22"/>
          <w:szCs w:val="22"/>
        </w:rPr>
        <w:t xml:space="preserve">Score: 41/50  |  </w:t>
      </w:r>
      <w:r>
        <w:rPr>
          <w:rFonts w:ascii="Arial" w:cs="Arial" w:eastAsia="Arial" w:hAnsi="Arial"/>
          <w:b/>
          <w:bCs/>
          <w:color w:val="0891B2"/>
          <w:sz w:val="22"/>
          <w:szCs w:val="22"/>
        </w:rPr>
        <w:t xml:space="preserve">Strong Fit</w:t>
      </w:r>
    </w:p>
    <w:p>
      <w:pPr>
        <w:spacing w:after="160"/>
      </w:pPr>
      <w:r>
        <w:rPr>
          <w:rFonts w:ascii="Arial" w:cs="Arial" w:eastAsia="Arial" w:hAnsi="Arial"/>
          <w:color w:val="444444"/>
          <w:sz w:val="22"/>
          <w:szCs w:val="22"/>
        </w:rPr>
        <w:t xml:space="preserve">The Ontario Food Terminal processes 2 billion pounds of produce annually, and the GTA is the largest food distribution hub in Canada. These companies have high inventory turnover, perishability constraints, and complex routing requirements.</w:t>
      </w:r>
    </w:p>
    <w:p>
      <w:pPr>
        <w:spacing w:after="160"/>
      </w:pPr>
      <w:r>
        <w:rPr>
          <w:rFonts w:ascii="Arial" w:cs="Arial" w:eastAsia="Arial" w:hAnsi="Arial"/>
          <w:b/>
          <w:bCs/>
          <w:color w:val="333333"/>
          <w:sz w:val="22"/>
          <w:szCs w:val="22"/>
        </w:rPr>
        <w:t xml:space="preserve">Why they buy: </w:t>
      </w:r>
      <w:r>
        <w:rPr>
          <w:rFonts w:ascii="Arial" w:cs="Arial" w:eastAsia="Arial" w:hAnsi="Arial"/>
          <w:color w:val="444444"/>
          <w:sz w:val="22"/>
          <w:szCs w:val="22"/>
        </w:rPr>
        <w:t xml:space="preserve">Demand forecasting for perishable goods is life-or-death for margins. A 5% reduction in spoilage waste translates directly to bottom-line profit. These companies also manage complex pricing across restaurant/institutional/retail channels. AI can predict demand by day-of-week, season, and event, then auto-adjust purchase orders.</w:t>
      </w:r>
    </w:p>
    <w:p>
      <w:pPr>
        <w:spacing w:after="160"/>
      </w:pPr>
      <w:r>
        <w:rPr>
          <w:rFonts w:ascii="Arial" w:cs="Arial" w:eastAsia="Arial" w:hAnsi="Arial"/>
          <w:b/>
          <w:bCs/>
          <w:color w:val="333333"/>
          <w:sz w:val="22"/>
          <w:szCs w:val="22"/>
        </w:rPr>
        <w:t xml:space="preserve">GTA examples: </w:t>
      </w:r>
      <w:r>
        <w:rPr>
          <w:rFonts w:ascii="Arial" w:cs="Arial" w:eastAsia="Arial" w:hAnsi="Arial"/>
          <w:color w:val="444444"/>
          <w:sz w:val="22"/>
          <w:szCs w:val="22"/>
        </w:rPr>
        <w:t xml:space="preserve">A1 Cash &amp; Carry (Mississauga), Ontario Food Terminal distributors, specialty importers in the GTA</w:t>
      </w:r>
    </w:p>
    <w:p>
      <w:pPr>
        <w:spacing w:after="160"/>
      </w:pPr>
      <w:r>
        <w:rPr>
          <w:rFonts w:ascii="Arial" w:cs="Arial" w:eastAsia="Arial" w:hAnsi="Arial"/>
          <w:b/>
          <w:bCs/>
          <w:color w:val="333333"/>
          <w:sz w:val="22"/>
          <w:szCs w:val="22"/>
        </w:rPr>
        <w:t xml:space="preserve">Workshop customization: </w:t>
      </w:r>
      <w:r>
        <w:rPr>
          <w:rFonts w:ascii="Arial" w:cs="Arial" w:eastAsia="Arial" w:hAnsi="Arial"/>
          <w:color w:val="444444"/>
          <w:sz w:val="22"/>
          <w:szCs w:val="22"/>
        </w:rPr>
        <w:t xml:space="preserve">Focus on demand forecasting, route optimization, and supplier communication automation. Show how AI can analyze historical order patterns to predict next week’s demand and auto-generate purchase orders.</w:t>
      </w:r>
    </w:p>
    <w:p>
      <w:pPr>
        <w:pStyle w:val="Heading3"/>
      </w:pPr>
      <w:r>
        <w:t xml:space="preserve">4. Building Materials &amp; Supply Distribution</w:t>
      </w:r>
    </w:p>
    <w:p>
      <w:pPr>
        <w:spacing w:after="160"/>
      </w:pPr>
      <w:r>
        <w:rPr>
          <w:rFonts w:ascii="Arial" w:cs="Arial" w:eastAsia="Arial" w:hAnsi="Arial"/>
          <w:b/>
          <w:bCs/>
          <w:color w:val="333333"/>
          <w:sz w:val="22"/>
          <w:szCs w:val="22"/>
        </w:rPr>
        <w:t xml:space="preserve">Score: 40/50  |  </w:t>
      </w:r>
      <w:r>
        <w:rPr>
          <w:rFonts w:ascii="Arial" w:cs="Arial" w:eastAsia="Arial" w:hAnsi="Arial"/>
          <w:b/>
          <w:bCs/>
          <w:color w:val="0891B2"/>
          <w:sz w:val="22"/>
          <w:szCs w:val="22"/>
        </w:rPr>
        <w:t xml:space="preserve">Strong Fit</w:t>
      </w:r>
    </w:p>
    <w:p>
      <w:pPr>
        <w:spacing w:after="160"/>
      </w:pPr>
      <w:r>
        <w:rPr>
          <w:rFonts w:ascii="Arial" w:cs="Arial" w:eastAsia="Arial" w:hAnsi="Arial"/>
          <w:color w:val="444444"/>
          <w:sz w:val="22"/>
          <w:szCs w:val="22"/>
        </w:rPr>
        <w:t xml:space="preserve">Building supply distributors operate showrooms, warehouses, and delivery fleets. They serve contractors, builders, and homeowners with complex quoting, delivery scheduling, and inventory management across multiple locations.</w:t>
      </w:r>
    </w:p>
    <w:p>
      <w:pPr>
        <w:spacing w:after="160"/>
      </w:pPr>
      <w:r>
        <w:rPr>
          <w:rFonts w:ascii="Arial" w:cs="Arial" w:eastAsia="Arial" w:hAnsi="Arial"/>
          <w:b/>
          <w:bCs/>
          <w:color w:val="333333"/>
          <w:sz w:val="22"/>
          <w:szCs w:val="22"/>
        </w:rPr>
        <w:t xml:space="preserve">Why they buy: </w:t>
      </w:r>
      <w:r>
        <w:rPr>
          <w:rFonts w:ascii="Arial" w:cs="Arial" w:eastAsia="Arial" w:hAnsi="Arial"/>
          <w:color w:val="444444"/>
          <w:sz w:val="22"/>
          <w:szCs w:val="22"/>
        </w:rPr>
        <w:t xml:space="preserve">Quoting is the bottleneck. A contractor calls asking for pricing on 47 items for a job. The sales rep manually pulls prices, checks stock across 3 warehouses, calculates delivery, and sends a quote. This takes 2–4 hours. AI can reduce it to 15 minutes by pulling inventory, applying contractor-tier pricing, and generating a formatted quote.</w:t>
      </w:r>
    </w:p>
    <w:p>
      <w:pPr>
        <w:spacing w:after="160"/>
      </w:pPr>
      <w:r>
        <w:rPr>
          <w:rFonts w:ascii="Arial" w:cs="Arial" w:eastAsia="Arial" w:hAnsi="Arial"/>
          <w:b/>
          <w:bCs/>
          <w:color w:val="333333"/>
          <w:sz w:val="22"/>
          <w:szCs w:val="22"/>
        </w:rPr>
        <w:t xml:space="preserve">GTA examples: </w:t>
      </w:r>
      <w:r>
        <w:rPr>
          <w:rFonts w:ascii="Arial" w:cs="Arial" w:eastAsia="Arial" w:hAnsi="Arial"/>
          <w:color w:val="444444"/>
          <w:sz w:val="22"/>
          <w:szCs w:val="22"/>
        </w:rPr>
        <w:t xml:space="preserve">Blair Building Materials, Bernardi Building Supply (50+ years), Royal Building Supplies, ICI Building Supplies (Markham), Costa Building Supplies</w:t>
      </w:r>
    </w:p>
    <w:p>
      <w:pPr>
        <w:spacing w:after="160"/>
      </w:pPr>
      <w:r>
        <w:rPr>
          <w:rFonts w:ascii="Arial" w:cs="Arial" w:eastAsia="Arial" w:hAnsi="Arial"/>
          <w:b/>
          <w:bCs/>
          <w:color w:val="333333"/>
          <w:sz w:val="22"/>
          <w:szCs w:val="22"/>
        </w:rPr>
        <w:t xml:space="preserve">Workshop customization: </w:t>
      </w:r>
      <w:r>
        <w:rPr>
          <w:rFonts w:ascii="Arial" w:cs="Arial" w:eastAsia="Arial" w:hAnsi="Arial"/>
          <w:color w:val="444444"/>
          <w:sz w:val="22"/>
          <w:szCs w:val="22"/>
        </w:rPr>
        <w:t xml:space="preserve">Demo AI-powered quoting: paste a contractor’s material list, have AI pull prices and stock levels, generate a professional quote PDF. Also show delivery route optimization.</w:t>
      </w:r>
    </w:p>
    <w:p>
      <w:pPr>
        <w:pStyle w:val="Heading3"/>
      </w:pPr>
      <w:r>
        <w:t xml:space="preserve">5. Healthcare &amp; Medical Supply Distribution</w:t>
      </w:r>
    </w:p>
    <w:p>
      <w:pPr>
        <w:spacing w:after="160"/>
      </w:pPr>
      <w:r>
        <w:rPr>
          <w:rFonts w:ascii="Arial" w:cs="Arial" w:eastAsia="Arial" w:hAnsi="Arial"/>
          <w:b/>
          <w:bCs/>
          <w:color w:val="333333"/>
          <w:sz w:val="22"/>
          <w:szCs w:val="22"/>
        </w:rPr>
        <w:t xml:space="preserve">Score: 40/50  |  </w:t>
      </w:r>
      <w:r>
        <w:rPr>
          <w:rFonts w:ascii="Arial" w:cs="Arial" w:eastAsia="Arial" w:hAnsi="Arial"/>
          <w:b/>
          <w:bCs/>
          <w:color w:val="0891B2"/>
          <w:sz w:val="22"/>
          <w:szCs w:val="22"/>
        </w:rPr>
        <w:t xml:space="preserve">Strong Fit</w:t>
      </w:r>
    </w:p>
    <w:p>
      <w:pPr>
        <w:spacing w:after="160"/>
      </w:pPr>
      <w:r>
        <w:rPr>
          <w:rFonts w:ascii="Arial" w:cs="Arial" w:eastAsia="Arial" w:hAnsi="Arial"/>
          <w:color w:val="444444"/>
          <w:sz w:val="22"/>
          <w:szCs w:val="22"/>
        </w:rPr>
        <w:t xml:space="preserve">Medical supply distributors operate in a regulated environment with complex procurement cycles, institutional buyers, and strict compliance requirements. Toronto is Canada’s largest biotech cluster.</w:t>
      </w:r>
    </w:p>
    <w:p>
      <w:pPr>
        <w:spacing w:after="160"/>
      </w:pPr>
      <w:r>
        <w:rPr>
          <w:rFonts w:ascii="Arial" w:cs="Arial" w:eastAsia="Arial" w:hAnsi="Arial"/>
          <w:b/>
          <w:bCs/>
          <w:color w:val="333333"/>
          <w:sz w:val="22"/>
          <w:szCs w:val="22"/>
        </w:rPr>
        <w:t xml:space="preserve">Why they buy: </w:t>
      </w:r>
      <w:r>
        <w:rPr>
          <w:rFonts w:ascii="Arial" w:cs="Arial" w:eastAsia="Arial" w:hAnsi="Arial"/>
          <w:color w:val="444444"/>
          <w:sz w:val="22"/>
          <w:szCs w:val="22"/>
        </w:rPr>
        <w:t xml:space="preserve">Compliance documentation is the pain point. Every shipment requires tracking, every product has regulatory requirements, and institutional buyers demand detailed reporting. AI can automate compliance documentation, generate bid responses for hospital RFPs, and track product recalls across inventory.</w:t>
      </w:r>
    </w:p>
    <w:p>
      <w:pPr>
        <w:spacing w:after="160"/>
      </w:pPr>
      <w:r>
        <w:rPr>
          <w:rFonts w:ascii="Arial" w:cs="Arial" w:eastAsia="Arial" w:hAnsi="Arial"/>
          <w:b/>
          <w:bCs/>
          <w:color w:val="333333"/>
          <w:sz w:val="22"/>
          <w:szCs w:val="22"/>
        </w:rPr>
        <w:t xml:space="preserve">GTA examples: </w:t>
      </w:r>
      <w:r>
        <w:rPr>
          <w:rFonts w:ascii="Arial" w:cs="Arial" w:eastAsia="Arial" w:hAnsi="Arial"/>
          <w:color w:val="444444"/>
          <w:sz w:val="22"/>
          <w:szCs w:val="22"/>
        </w:rPr>
        <w:t xml:space="preserve">MED+ Medical Equipment, Vital Mobility, Ontario Medical Supply, Mera Medical Supplies, ANDA Medical (Oshawa)</w:t>
      </w:r>
    </w:p>
    <w:p>
      <w:pPr>
        <w:spacing w:after="160"/>
      </w:pPr>
      <w:r>
        <w:rPr>
          <w:rFonts w:ascii="Arial" w:cs="Arial" w:eastAsia="Arial" w:hAnsi="Arial"/>
          <w:b/>
          <w:bCs/>
          <w:color w:val="333333"/>
          <w:sz w:val="22"/>
          <w:szCs w:val="22"/>
        </w:rPr>
        <w:t xml:space="preserve">Workshop customization: </w:t>
      </w:r>
      <w:r>
        <w:rPr>
          <w:rFonts w:ascii="Arial" w:cs="Arial" w:eastAsia="Arial" w:hAnsi="Arial"/>
          <w:color w:val="444444"/>
          <w:sz w:val="22"/>
          <w:szCs w:val="22"/>
        </w:rPr>
        <w:t xml:space="preserve">Focus on document automation, RFP response generation, and inventory compliance tracking. Show how AI can draft a hospital procurement bid by pulling product specs, pricing, and compliance certifications automatically.</w:t>
      </w:r>
    </w:p>
    <w:p>
      <w:r>
        <w:br w:type="page"/>
      </w:r>
    </w:p>
    <w:p>
      <w:pPr>
        <w:pStyle w:val="Heading1"/>
      </w:pPr>
      <w:r>
        <w:t xml:space="preserve">Workshop Restructuring Recommendations</w:t>
      </w:r>
    </w:p>
    <w:p>
      <w:pPr>
        <w:spacing w:after="160"/>
      </w:pPr>
      <w:r>
        <w:rPr>
          <w:rFonts w:ascii="Arial" w:cs="Arial" w:eastAsia="Arial" w:hAnsi="Arial"/>
          <w:color w:val="444444"/>
          <w:sz w:val="22"/>
          <w:szCs w:val="22"/>
        </w:rPr>
        <w:t xml:space="preserve">Based on the psychological analysis, the current workshop structure should be optimized for the buyer profile identified above. The core insight is: </w:t>
      </w:r>
      <w:r>
        <w:rPr>
          <w:rFonts w:ascii="Arial" w:cs="Arial" w:eastAsia="Arial" w:hAnsi="Arial"/>
          <w:b/>
          <w:bCs/>
          <w:color w:val="333333"/>
          <w:sz w:val="22"/>
          <w:szCs w:val="22"/>
        </w:rPr>
        <w:t xml:space="preserve">these buyers are pragmatic operators, not technology enthusiasts.</w:t>
      </w:r>
      <w:r>
        <w:rPr>
          <w:rFonts w:ascii="Arial" w:cs="Arial" w:eastAsia="Arial" w:hAnsi="Arial"/>
          <w:color w:val="444444"/>
          <w:sz w:val="22"/>
          <w:szCs w:val="22"/>
        </w:rPr>
        <w:t xml:space="preserve"> Every minute of theory must be earned by a minute of demonstration.</w:t>
      </w:r>
    </w:p>
    <w:p>
      <w:pPr>
        <w:pStyle w:val="Heading2"/>
      </w:pPr>
      <w:r>
        <w:t xml:space="preserve">Recommended Time Allocation (3-Hour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4200"/>
        <w:gridCol w:w="2660"/>
      </w:tblGrid>
      <w:tr>
        <w:trPr>
          <w:tblHeader/>
        </w:trPr>
        <w:tc>
          <w:tcPr>
            <w:tcW w:type="dxa" w:w="15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w:t>
            </w:r>
          </w:p>
        </w:tc>
        <w:tc>
          <w:tcPr>
            <w:tcW w:type="dxa" w:w="10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4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6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Engagement Driver</w:t>
            </w:r>
          </w:p>
        </w:tc>
      </w:tr>
      <w:tr>
        <w:tc>
          <w:tcPr>
            <w:tcW w:type="dxa" w:w="15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Opening</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10 min</w:t>
            </w:r>
          </w:p>
        </w:tc>
        <w:tc>
          <w:tcPr>
            <w:tcW w:type="dxa" w:w="4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Who we are + what AI can do for YOUR business (not what AI is)</w:t>
            </w:r>
          </w:p>
        </w:tc>
        <w:tc>
          <w:tcPr>
            <w:tcW w:type="dxa" w:w="2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Credibility + relevance framing</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Pain-Point Discovery</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15 min</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Facilitated discussion: What are your top 3 operational bottlenecks?</w:t>
            </w:r>
          </w:p>
        </w:tc>
        <w:tc>
          <w:tcPr>
            <w:tcW w:type="dxa" w:w="2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Makes audience co-creators</w:t>
            </w:r>
          </w:p>
        </w:tc>
      </w:tr>
      <w:tr>
        <w:tc>
          <w:tcPr>
            <w:tcW w:type="dxa" w:w="15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Quick Wins Demo</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30 min</w:t>
            </w:r>
          </w:p>
        </w:tc>
        <w:tc>
          <w:tcPr>
            <w:tcW w:type="dxa" w:w="4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Live demos on generic accounts: email drafting, report analysis, content generation</w:t>
            </w:r>
          </w:p>
        </w:tc>
        <w:tc>
          <w:tcPr>
            <w:tcW w:type="dxa" w:w="2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Shows immediate applicability</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The Prompting Framework</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20 min</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ICPO formula with their industry examples (not abstract examples)</w:t>
            </w:r>
          </w:p>
        </w:tc>
        <w:tc>
          <w:tcPr>
            <w:tcW w:type="dxa" w:w="2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Gives them a repeatable tool</w:t>
            </w:r>
          </w:p>
        </w:tc>
      </w:tr>
      <w:tr>
        <w:tc>
          <w:tcPr>
            <w:tcW w:type="dxa" w:w="15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Break</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10 min</w:t>
            </w:r>
          </w:p>
        </w:tc>
        <w:tc>
          <w:tcPr>
            <w:tcW w:type="dxa" w:w="4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w:t>
            </w:r>
          </w:p>
        </w:tc>
        <w:tc>
          <w:tcPr>
            <w:tcW w:type="dxa" w:w="2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Live Problem Solving</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45 min</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Log into their actual systems. Automate real tasks. Solve real problems.</w:t>
            </w:r>
          </w:p>
        </w:tc>
        <w:tc>
          <w:tcPr>
            <w:tcW w:type="dxa" w:w="2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Highest-value moment</w:t>
            </w:r>
          </w:p>
        </w:tc>
      </w:tr>
      <w:tr>
        <w:tc>
          <w:tcPr>
            <w:tcW w:type="dxa" w:w="15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What’s Possible Next</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10 min</w:t>
            </w:r>
          </w:p>
        </w:tc>
        <w:tc>
          <w:tcPr>
            <w:tcW w:type="dxa" w:w="4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Show agent automation, scheduled tasks, multi-tool workflows</w:t>
            </w:r>
          </w:p>
        </w:tc>
        <w:tc>
          <w:tcPr>
            <w:tcW w:type="dxa" w:w="2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Creates aspiration</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Roadmap &amp; Next Steps</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10 min</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Growth path: Quick Wins → Custom Agents → Full Automation</w:t>
            </w:r>
          </w:p>
        </w:tc>
        <w:tc>
          <w:tcPr>
            <w:tcW w:type="dxa" w:w="26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Creates buying momentum</w:t>
            </w:r>
          </w:p>
        </w:tc>
      </w:tr>
      <w:tr>
        <w:tc>
          <w:tcPr>
            <w:tcW w:type="dxa" w:w="15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Q&amp;A</w:t>
            </w:r>
          </w:p>
        </w:tc>
        <w:tc>
          <w:tcPr>
            <w:tcW w:type="dxa" w:w="10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10 min</w:t>
            </w:r>
          </w:p>
        </w:tc>
        <w:tc>
          <w:tcPr>
            <w:tcW w:type="dxa" w:w="4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Open questions</w:t>
            </w:r>
          </w:p>
        </w:tc>
        <w:tc>
          <w:tcPr>
            <w:tcW w:type="dxa" w:w="26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Objection handling</w:t>
            </w:r>
          </w:p>
        </w:tc>
      </w:tr>
    </w:tbl>
    <w:p>
      <w:pPr>
        <w:spacing w:after="100"/>
      </w:pPr>
    </w:p>
    <w:p>
      <w:pPr>
        <w:pStyle w:val="Heading2"/>
      </w:pPr>
      <w:r>
        <w:t xml:space="preserve">Key Structural Changes</w:t>
      </w:r>
    </w:p>
    <w:p>
      <w:pPr>
        <w:pStyle w:val="ListParagraph"/>
        <w:numPr>
          <w:ilvl w:val="0"/>
          <w:numId w:val="2"/>
        </w:numPr>
        <w:spacing w:after="80"/>
      </w:pPr>
      <w:r>
        <w:rPr>
          <w:rFonts w:ascii="Arial" w:cs="Arial" w:eastAsia="Arial" w:hAnsi="Arial"/>
          <w:b/>
          <w:bCs/>
          <w:color w:val="333333"/>
          <w:sz w:val="22"/>
          <w:szCs w:val="22"/>
        </w:rPr>
        <w:t xml:space="preserve">Cut the AI taxonomy section by 70%. </w:t>
      </w:r>
      <w:r>
        <w:rPr>
          <w:rFonts w:ascii="Arial" w:cs="Arial" w:eastAsia="Arial" w:hAnsi="Arial"/>
          <w:color w:val="444444"/>
          <w:sz w:val="22"/>
          <w:szCs w:val="22"/>
        </w:rPr>
        <w:t xml:space="preserve">Keep a 2-minute overview maximum. The audience doesn’t need to understand ML vs. deep learning vs. GenAI. They need to know: “AI can now read your screen, navigate your tools, and do tasks for you.”</w:t>
      </w:r>
    </w:p>
    <w:p>
      <w:pPr>
        <w:pStyle w:val="ListParagraph"/>
        <w:numPr>
          <w:ilvl w:val="0"/>
          <w:numId w:val="2"/>
        </w:numPr>
        <w:spacing w:after="80"/>
      </w:pPr>
      <w:r>
        <w:rPr>
          <w:rFonts w:ascii="Arial" w:cs="Arial" w:eastAsia="Arial" w:hAnsi="Arial"/>
          <w:b/>
          <w:bCs/>
          <w:color w:val="333333"/>
          <w:sz w:val="22"/>
          <w:szCs w:val="22"/>
        </w:rPr>
        <w:t xml:space="preserve">Move “Pain-Point Discovery” to the first 15 minutes. </w:t>
      </w:r>
      <w:r>
        <w:rPr>
          <w:rFonts w:ascii="Arial" w:cs="Arial" w:eastAsia="Arial" w:hAnsi="Arial"/>
          <w:color w:val="444444"/>
          <w:sz w:val="22"/>
          <w:szCs w:val="22"/>
        </w:rPr>
        <w:t xml:space="preserve">In the transcript, the presenters asked “What use cases do you have?” 90 minutes into the session. This should happen in the first 15 minutes so the rest of the workshop can be tailored to their answers.</w:t>
      </w:r>
    </w:p>
    <w:p>
      <w:pPr>
        <w:pStyle w:val="ListParagraph"/>
        <w:numPr>
          <w:ilvl w:val="0"/>
          <w:numId w:val="2"/>
        </w:numPr>
        <w:spacing w:after="80"/>
      </w:pPr>
      <w:r>
        <w:rPr>
          <w:rFonts w:ascii="Arial" w:cs="Arial" w:eastAsia="Arial" w:hAnsi="Arial"/>
          <w:b/>
          <w:bCs/>
          <w:color w:val="333333"/>
          <w:sz w:val="22"/>
          <w:szCs w:val="22"/>
        </w:rPr>
        <w:t xml:space="preserve">Double the live demo time. </w:t>
      </w:r>
      <w:r>
        <w:rPr>
          <w:rFonts w:ascii="Arial" w:cs="Arial" w:eastAsia="Arial" w:hAnsi="Arial"/>
          <w:color w:val="444444"/>
          <w:sz w:val="22"/>
          <w:szCs w:val="22"/>
        </w:rPr>
        <w:t xml:space="preserve">The transcript shows that every demo minute generated 3–5x more audience interaction than every slide minute. The live Seller Central demo was the climax of the entire session.</w:t>
      </w:r>
    </w:p>
    <w:p>
      <w:pPr>
        <w:pStyle w:val="ListParagraph"/>
        <w:numPr>
          <w:ilvl w:val="0"/>
          <w:numId w:val="2"/>
        </w:numPr>
        <w:spacing w:after="80"/>
      </w:pPr>
      <w:r>
        <w:rPr>
          <w:rFonts w:ascii="Arial" w:cs="Arial" w:eastAsia="Arial" w:hAnsi="Arial"/>
          <w:b/>
          <w:bCs/>
          <w:color w:val="333333"/>
          <w:sz w:val="22"/>
          <w:szCs w:val="22"/>
        </w:rPr>
        <w:t xml:space="preserve">Bring pre-built demo accounts. </w:t>
      </w:r>
      <w:r>
        <w:rPr>
          <w:rFonts w:ascii="Arial" w:cs="Arial" w:eastAsia="Arial" w:hAnsi="Arial"/>
          <w:color w:val="444444"/>
          <w:sz w:val="22"/>
          <w:szCs w:val="22"/>
        </w:rPr>
        <w:t xml:space="preserve">The session lost momentum when the presenters struggled with account access (deactivated accounts, 2FA issues). Have 2–3 pre-configured demo environments ready.</w:t>
      </w:r>
    </w:p>
    <w:p>
      <w:pPr>
        <w:pStyle w:val="ListParagraph"/>
        <w:numPr>
          <w:ilvl w:val="0"/>
          <w:numId w:val="2"/>
        </w:numPr>
        <w:spacing w:after="80"/>
      </w:pPr>
      <w:r>
        <w:rPr>
          <w:rFonts w:ascii="Arial" w:cs="Arial" w:eastAsia="Arial" w:hAnsi="Arial"/>
          <w:b/>
          <w:bCs/>
          <w:color w:val="333333"/>
          <w:sz w:val="22"/>
          <w:szCs w:val="22"/>
        </w:rPr>
        <w:t xml:space="preserve">End with a clear commercial path. </w:t>
      </w:r>
      <w:r>
        <w:rPr>
          <w:rFonts w:ascii="Arial" w:cs="Arial" w:eastAsia="Arial" w:hAnsi="Arial"/>
          <w:color w:val="444444"/>
          <w:sz w:val="22"/>
          <w:szCs w:val="22"/>
        </w:rPr>
        <w:t xml:space="preserve">The current workshop ends with “Keep leveling up.” It should end with: “Here’s what we can automate for your business, and here’s what that engagement looks like.”</w:t>
      </w:r>
    </w:p>
    <w:p>
      <w:r>
        <w:br w:type="page"/>
      </w:r>
    </w:p>
    <w:p>
      <w:pPr>
        <w:pStyle w:val="Heading1"/>
      </w:pPr>
      <w:r>
        <w:t xml:space="preserve">Go-to-Market Strategy for Toronto</w:t>
      </w:r>
    </w:p>
    <w:p>
      <w:pPr>
        <w:pStyle w:val="Heading2"/>
      </w:pPr>
      <w:r>
        <w:t xml:space="preserve">Geographic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34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Niches</w:t>
            </w:r>
          </w:p>
        </w:tc>
        <w:tc>
          <w:tcPr>
            <w:tcW w:type="dxa" w:w="41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Vaughan</w:t>
            </w:r>
          </w:p>
        </w:tc>
        <w:tc>
          <w:tcPr>
            <w:tcW w:type="dxa" w:w="34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Consumer electronics, automotive parts, import/export</w:t>
            </w:r>
          </w:p>
        </w:tc>
        <w:tc>
          <w:tcPr>
            <w:tcW w:type="dxa" w:w="41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Major industrial/logistics hub, highway access, high concentration of distribution companies</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Mississauga</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Food &amp; beverage, electronics, logistics</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Pearson Airport proximity, A1 Cash &amp; Carry HQ, Cellntell HQ, massive warehouse corridor</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Brampton</w:t>
            </w:r>
          </w:p>
        </w:tc>
        <w:tc>
          <w:tcPr>
            <w:tcW w:type="dxa" w:w="34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Automotive, manufacturing, logistics</w:t>
            </w:r>
          </w:p>
        </w:tc>
        <w:tc>
          <w:tcPr>
            <w:tcW w:type="dxa" w:w="41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250+ auto suppliers in York Region, emerging tech hub, distribution infrastructure</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Markham</w:t>
            </w:r>
          </w:p>
        </w:tc>
        <w:tc>
          <w:tcPr>
            <w:tcW w:type="dxa" w:w="34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Electronics, tech, building supply</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Electro Sonic HQ, ICI Building Supplies, strong tech presence</w:t>
            </w:r>
          </w:p>
        </w:tc>
      </w:tr>
      <w:tr>
        <w:tc>
          <w:tcPr>
            <w:tcW w:type="dxa" w:w="1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Scarborough / East GTA</w:t>
            </w:r>
          </w:p>
        </w:tc>
        <w:tc>
          <w:tcPr>
            <w:tcW w:type="dxa" w:w="34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Food distribution, import/export</w:t>
            </w:r>
          </w:p>
        </w:tc>
        <w:tc>
          <w:tcPr>
            <w:tcW w:type="dxa" w:w="41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Diverse business community, Ontario Food Terminal proximity, import businesses</w:t>
            </w:r>
          </w:p>
        </w:tc>
      </w:tr>
    </w:tbl>
    <w:p>
      <w:pPr>
        <w:spacing w:after="100"/>
      </w:pPr>
    </w:p>
    <w:p>
      <w:pPr>
        <w:pStyle w:val="Heading2"/>
      </w:pPr>
      <w:r>
        <w:t xml:space="preserve">Outreach Strategy</w:t>
      </w:r>
    </w:p>
    <w:p>
      <w:pPr>
        <w:pStyle w:val="ListParagraph"/>
        <w:numPr>
          <w:ilvl w:val="0"/>
          <w:numId w:val="2"/>
        </w:numPr>
        <w:spacing w:after="80"/>
      </w:pPr>
      <w:r>
        <w:rPr>
          <w:rFonts w:ascii="Arial" w:cs="Arial" w:eastAsia="Arial" w:hAnsi="Arial"/>
          <w:b/>
          <w:bCs/>
          <w:color w:val="333333"/>
          <w:sz w:val="22"/>
          <w:szCs w:val="22"/>
        </w:rPr>
        <w:t xml:space="preserve">Industry association partnerships: </w:t>
      </w:r>
      <w:r>
        <w:rPr>
          <w:rFonts w:ascii="Arial" w:cs="Arial" w:eastAsia="Arial" w:hAnsi="Arial"/>
          <w:color w:val="444444"/>
          <w:sz w:val="22"/>
          <w:szCs w:val="22"/>
        </w:rPr>
        <w:t xml:space="preserve">Canadian Federation of Independent Business (CFIB), Toronto Region Board of Trade, industry-specific associations (Canadian Automotive Parts Manufacturers’ Association, Food &amp; Beverage Ontario). Offer to deliver a free 45-minute AI demo session at their next member event.</w:t>
      </w:r>
    </w:p>
    <w:p>
      <w:pPr>
        <w:pStyle w:val="ListParagraph"/>
        <w:numPr>
          <w:ilvl w:val="0"/>
          <w:numId w:val="2"/>
        </w:numPr>
        <w:spacing w:after="80"/>
      </w:pPr>
      <w:r>
        <w:rPr>
          <w:rFonts w:ascii="Arial" w:cs="Arial" w:eastAsia="Arial" w:hAnsi="Arial"/>
          <w:b/>
          <w:bCs/>
          <w:color w:val="333333"/>
          <w:sz w:val="22"/>
          <w:szCs w:val="22"/>
        </w:rPr>
        <w:t xml:space="preserve">LinkedIn targeting: </w:t>
      </w:r>
      <w:r>
        <w:rPr>
          <w:rFonts w:ascii="Arial" w:cs="Arial" w:eastAsia="Arial" w:hAnsi="Arial"/>
          <w:color w:val="444444"/>
          <w:sz w:val="22"/>
          <w:szCs w:val="22"/>
        </w:rPr>
        <w:t xml:space="preserve">Owners and COOs of GTA distribution companies with 20–100 employees. Lead with the specific demo video (Seller Central automation) as content. This is your highest-converting asset.</w:t>
      </w:r>
    </w:p>
    <w:p>
      <w:pPr>
        <w:pStyle w:val="ListParagraph"/>
        <w:numPr>
          <w:ilvl w:val="0"/>
          <w:numId w:val="2"/>
        </w:numPr>
        <w:spacing w:after="80"/>
      </w:pPr>
      <w:r>
        <w:rPr>
          <w:rFonts w:ascii="Arial" w:cs="Arial" w:eastAsia="Arial" w:hAnsi="Arial"/>
          <w:b/>
          <w:bCs/>
          <w:color w:val="333333"/>
          <w:sz w:val="22"/>
          <w:szCs w:val="22"/>
        </w:rPr>
        <w:t xml:space="preserve">Referral from first client: </w:t>
      </w:r>
      <w:r>
        <w:rPr>
          <w:rFonts w:ascii="Arial" w:cs="Arial" w:eastAsia="Arial" w:hAnsi="Arial"/>
          <w:color w:val="444444"/>
          <w:sz w:val="22"/>
          <w:szCs w:val="22"/>
        </w:rPr>
        <w:t xml:space="preserve">The consumer electronics company from the Feb 13 session is your proof case. Ask them for 2–3 introductions to peer companies in adjacent distribution verticals. Distribution owners know other distribution owners.</w:t>
      </w:r>
    </w:p>
    <w:p>
      <w:pPr>
        <w:pStyle w:val="ListParagraph"/>
        <w:numPr>
          <w:ilvl w:val="0"/>
          <w:numId w:val="2"/>
        </w:numPr>
        <w:spacing w:after="80"/>
      </w:pPr>
      <w:r>
        <w:rPr>
          <w:rFonts w:ascii="Arial" w:cs="Arial" w:eastAsia="Arial" w:hAnsi="Arial"/>
          <w:b/>
          <w:bCs/>
          <w:color w:val="333333"/>
          <w:sz w:val="22"/>
          <w:szCs w:val="22"/>
        </w:rPr>
        <w:t xml:space="preserve">Vaughan/Mississauga industrial park canvassing: </w:t>
      </w:r>
      <w:r>
        <w:rPr>
          <w:rFonts w:ascii="Arial" w:cs="Arial" w:eastAsia="Arial" w:hAnsi="Arial"/>
          <w:color w:val="444444"/>
          <w:sz w:val="22"/>
          <w:szCs w:val="22"/>
        </w:rPr>
        <w:t xml:space="preserve">These are concentrated areas. A targeted mail campaign or in-person visits to industrial parks with distribution companies can generate face-to-face conversations that convert at higher rates than digital outreach.</w:t>
      </w:r>
    </w:p>
    <w:p>
      <w:pPr>
        <w:pStyle w:val="ListParagraph"/>
        <w:numPr>
          <w:ilvl w:val="0"/>
          <w:numId w:val="2"/>
        </w:numPr>
        <w:spacing w:after="80"/>
      </w:pPr>
      <w:r>
        <w:rPr>
          <w:rFonts w:ascii="Arial" w:cs="Arial" w:eastAsia="Arial" w:hAnsi="Arial"/>
          <w:b/>
          <w:bCs/>
          <w:color w:val="333333"/>
          <w:sz w:val="22"/>
          <w:szCs w:val="22"/>
        </w:rPr>
        <w:t xml:space="preserve">Workshop recording as lead magnet: </w:t>
      </w:r>
      <w:r>
        <w:rPr>
          <w:rFonts w:ascii="Arial" w:cs="Arial" w:eastAsia="Arial" w:hAnsi="Arial"/>
          <w:color w:val="444444"/>
          <w:sz w:val="22"/>
          <w:szCs w:val="22"/>
        </w:rPr>
        <w:t xml:space="preserve">Edit the best 5 minutes of the Seller Central demo into a standalone video. Use it as LinkedIn/email content. The visual of an AI navigating a real business system is more compelling than any slide deck.</w:t>
      </w:r>
    </w:p>
    <w:p>
      <w:pPr>
        <w:pStyle w:val="Heading2"/>
      </w:pPr>
      <w:r>
        <w:t xml:space="preserve">Pricing Framework</w:t>
      </w:r>
    </w:p>
    <w:p>
      <w:pPr>
        <w:spacing w:after="160"/>
      </w:pPr>
      <w:r>
        <w:rPr>
          <w:rFonts w:ascii="Arial" w:cs="Arial" w:eastAsia="Arial" w:hAnsi="Arial"/>
          <w:color w:val="444444"/>
          <w:sz w:val="22"/>
          <w:szCs w:val="22"/>
        </w:rPr>
        <w:t xml:space="preserve">For companies in the $50–100M revenue range, the workshop is not the revenue center — it’s the </w:t>
      </w:r>
      <w:r>
        <w:rPr>
          <w:rFonts w:ascii="Arial" w:cs="Arial" w:eastAsia="Arial" w:hAnsi="Arial"/>
          <w:b/>
          <w:bCs/>
          <w:color w:val="333333"/>
          <w:sz w:val="22"/>
          <w:szCs w:val="22"/>
        </w:rPr>
        <w:t xml:space="preserve">trust-building mechanism</w:t>
      </w:r>
      <w:r>
        <w:rPr>
          <w:rFonts w:ascii="Arial" w:cs="Arial" w:eastAsia="Arial" w:hAnsi="Arial"/>
          <w:color w:val="444444"/>
          <w:sz w:val="22"/>
          <w:szCs w:val="22"/>
        </w:rPr>
        <w:t xml:space="preserve"> that leads to consulting engagements. Consider a tiered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380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Get</w:t>
            </w:r>
          </w:p>
        </w:tc>
        <w:tc>
          <w:tcPr>
            <w:tcW w:type="dxa" w:w="3360"/>
            <w:tcBorders>
              <w:top w:val="single" w:color="E5E7EB" w:sz="1"/>
              <w:left w:val="single" w:color="E5E7EB" w:sz="1"/>
              <w:bottom w:val="single" w:color="E5E7EB" w:sz="1"/>
              <w:right w:val="single" w:color="E5E7E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Signal</w:t>
            </w:r>
          </w:p>
        </w:tc>
      </w:tr>
      <w:tr>
        <w:tc>
          <w:tcPr>
            <w:tcW w:type="dxa" w:w="2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Discovery Workshop (3 hrs)</w:t>
            </w:r>
          </w:p>
        </w:tc>
        <w:tc>
          <w:tcPr>
            <w:tcW w:type="dxa" w:w="3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The current workshop format with live demos on their systems. Ends with a bottleneck audit.</w:t>
            </w:r>
          </w:p>
        </w:tc>
        <w:tc>
          <w:tcPr>
            <w:tcW w:type="dxa" w:w="33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Free or low-cost ($500–$1,500). This is your lead generation tool.</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Implementation Sprint (2–4 weeks)</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Custom AI agents built for their top 3 use cases. Hands-on training for their team.</w:t>
            </w:r>
          </w:p>
        </w:tc>
        <w:tc>
          <w:tcPr>
            <w:tcW w:type="dxa" w:w="33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444444"/>
                <w:sz w:val="20"/>
                <w:szCs w:val="20"/>
              </w:rPr>
              <w:t xml:space="preserve">$5,000–$15,000. This is where you deliver measurable ROI.</w:t>
            </w:r>
          </w:p>
        </w:tc>
      </w:tr>
      <w:tr>
        <w:tc>
          <w:tcPr>
            <w:tcW w:type="dxa" w:w="22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Ongoing AI Partnership</w:t>
            </w:r>
          </w:p>
        </w:tc>
        <w:tc>
          <w:tcPr>
            <w:tcW w:type="dxa" w:w="380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Monthly retainer for new automations, agent maintenance, and team training.</w:t>
            </w:r>
          </w:p>
        </w:tc>
        <w:tc>
          <w:tcPr>
            <w:tcW w:type="dxa" w:w="3360"/>
            <w:tcBorders>
              <w:top w:val="single" w:color="E5E7EB" w:sz="1"/>
              <w:left w:val="single" w:color="E5E7EB" w:sz="1"/>
              <w:bottom w:val="single" w:color="E5E7EB" w:sz="1"/>
              <w:right w:val="single" w:color="E5E7EB" w:sz="1"/>
            </w:tcBorders>
            <w:shd w:fill="F8FAFB" w:val="clear"/>
            <w:tcMar>
              <w:top w:type="dxa" w:w="80"/>
              <w:left w:type="dxa" w:w="120"/>
              <w:bottom w:type="dxa" w:w="80"/>
              <w:right w:type="dxa" w:w="120"/>
            </w:tcMar>
          </w:tcPr>
          <w:p>
            <w:r>
              <w:rPr>
                <w:rFonts w:ascii="Arial" w:cs="Arial" w:eastAsia="Arial" w:hAnsi="Arial"/>
                <w:color w:val="444444"/>
                <w:sz w:val="20"/>
                <w:szCs w:val="20"/>
              </w:rPr>
              <w:t xml:space="preserve">$2,000–$5,000/month. Recurring revenue from clients who see results.</w:t>
            </w:r>
          </w:p>
        </w:tc>
      </w:tr>
    </w:tbl>
    <w:p>
      <w:pPr>
        <w:spacing w:after="200"/>
      </w:pPr>
    </w:p>
    <w:p>
      <w:pPr>
        <w:pStyle w:val="Heading1"/>
      </w:pPr>
      <w:r>
        <w:t xml:space="preserve">Conclusion &amp; Immediate Next Steps</w:t>
      </w:r>
    </w:p>
    <w:p>
      <w:pPr>
        <w:spacing w:after="160"/>
      </w:pPr>
      <w:r>
        <w:rPr>
          <w:rFonts w:ascii="Arial" w:cs="Arial" w:eastAsia="Arial" w:hAnsi="Arial"/>
          <w:color w:val="444444"/>
          <w:sz w:val="22"/>
          <w:szCs w:val="22"/>
        </w:rPr>
        <w:t xml:space="preserve">The February 13 workshop validated a powerful product-market fit: </w:t>
      </w:r>
      <w:r>
        <w:rPr>
          <w:rFonts w:ascii="Arial" w:cs="Arial" w:eastAsia="Arial" w:hAnsi="Arial"/>
          <w:b/>
          <w:bCs/>
          <w:color w:val="333333"/>
          <w:sz w:val="22"/>
          <w:szCs w:val="22"/>
        </w:rPr>
        <w:t xml:space="preserve">mid-market distribution and wholesale companies in the GTA are hungry for AI automation</w:t>
      </w:r>
      <w:r>
        <w:rPr>
          <w:rFonts w:ascii="Arial" w:cs="Arial" w:eastAsia="Arial" w:hAnsi="Arial"/>
          <w:color w:val="444444"/>
          <w:sz w:val="22"/>
          <w:szCs w:val="22"/>
        </w:rPr>
        <w:t xml:space="preserve"> but need to see it applied to their specific tools and workflows before they trust it. The workshop’s strongest moments were live, specific, and operational. The weakest moments were theoretical and abstract.</w:t>
      </w:r>
    </w:p>
    <w:p>
      <w:pPr>
        <w:spacing w:after="160"/>
      </w:pPr>
      <w:r>
        <w:rPr>
          <w:rFonts w:ascii="Arial" w:cs="Arial" w:eastAsia="Arial" w:hAnsi="Arial"/>
          <w:b/>
          <w:bCs/>
          <w:color w:val="333333"/>
          <w:sz w:val="22"/>
          <w:szCs w:val="22"/>
        </w:rPr>
        <w:t xml:space="preserve">The formula is clear:</w:t>
      </w:r>
      <w:r>
        <w:rPr>
          <w:rFonts w:ascii="Arial" w:cs="Arial" w:eastAsia="Arial" w:hAnsi="Arial"/>
          <w:color w:val="444444"/>
          <w:sz w:val="22"/>
          <w:szCs w:val="22"/>
        </w:rPr>
        <w:t xml:space="preserve"> demonstrate value on their actual systems, in their language, solving their specific problems. Then offer to build the permanent solution.</w:t>
      </w:r>
    </w:p>
    <w:p>
      <w:pPr>
        <w:spacing w:after="80"/>
      </w:pPr>
    </w:p>
    <w:p>
      <w:pPr>
        <w:spacing w:after="160"/>
      </w:pPr>
      <w:r>
        <w:rPr>
          <w:rFonts w:ascii="Arial" w:cs="Arial" w:eastAsia="Arial" w:hAnsi="Arial"/>
          <w:b/>
          <w:bCs/>
          <w:color w:val="333333"/>
          <w:sz w:val="22"/>
          <w:szCs w:val="22"/>
        </w:rPr>
        <w:t xml:space="preserve">Immediate Actions:</w:t>
      </w:r>
    </w:p>
    <w:p>
      <w:pPr>
        <w:pStyle w:val="ListParagraph"/>
        <w:numPr>
          <w:ilvl w:val="0"/>
          <w:numId w:val="3"/>
        </w:numPr>
        <w:spacing w:after="80"/>
      </w:pPr>
      <w:r>
        <w:rPr>
          <w:rFonts w:ascii="Arial" w:cs="Arial" w:eastAsia="Arial" w:hAnsi="Arial"/>
          <w:b/>
          <w:bCs/>
          <w:color w:val="333333"/>
          <w:sz w:val="22"/>
          <w:szCs w:val="22"/>
        </w:rPr>
        <w:t xml:space="preserve">This week: </w:t>
      </w:r>
      <w:r>
        <w:rPr>
          <w:rFonts w:ascii="Arial" w:cs="Arial" w:eastAsia="Arial" w:hAnsi="Arial"/>
          <w:color w:val="444444"/>
          <w:sz w:val="22"/>
          <w:szCs w:val="22"/>
        </w:rPr>
        <w:t xml:space="preserve">Edit the Seller Central demo into a 3–5 minute video for LinkedIn and email outreach.</w:t>
      </w:r>
    </w:p>
    <w:p>
      <w:pPr>
        <w:pStyle w:val="ListParagraph"/>
        <w:numPr>
          <w:ilvl w:val="0"/>
          <w:numId w:val="3"/>
        </w:numPr>
        <w:spacing w:after="80"/>
      </w:pPr>
      <w:r>
        <w:rPr>
          <w:rFonts w:ascii="Arial" w:cs="Arial" w:eastAsia="Arial" w:hAnsi="Arial"/>
          <w:b/>
          <w:bCs/>
          <w:color w:val="333333"/>
          <w:sz w:val="22"/>
          <w:szCs w:val="22"/>
        </w:rPr>
        <w:t xml:space="preserve">This week: </w:t>
      </w:r>
      <w:r>
        <w:rPr>
          <w:rFonts w:ascii="Arial" w:cs="Arial" w:eastAsia="Arial" w:hAnsi="Arial"/>
          <w:color w:val="444444"/>
          <w:sz w:val="22"/>
          <w:szCs w:val="22"/>
        </w:rPr>
        <w:t xml:space="preserve">Ask your Feb 13 client for 2–3 introductions to peer companies in adjacent verticals (auto parts, food distribution).</w:t>
      </w:r>
    </w:p>
    <w:p>
      <w:pPr>
        <w:pStyle w:val="ListParagraph"/>
        <w:numPr>
          <w:ilvl w:val="0"/>
          <w:numId w:val="3"/>
        </w:numPr>
        <w:spacing w:after="80"/>
      </w:pPr>
      <w:r>
        <w:rPr>
          <w:rFonts w:ascii="Arial" w:cs="Arial" w:eastAsia="Arial" w:hAnsi="Arial"/>
          <w:b/>
          <w:bCs/>
          <w:color w:val="333333"/>
          <w:sz w:val="22"/>
          <w:szCs w:val="22"/>
        </w:rPr>
        <w:t xml:space="preserve">Next 2 weeks: </w:t>
      </w:r>
      <w:r>
        <w:rPr>
          <w:rFonts w:ascii="Arial" w:cs="Arial" w:eastAsia="Arial" w:hAnsi="Arial"/>
          <w:color w:val="444444"/>
          <w:sz w:val="22"/>
          <w:szCs w:val="22"/>
        </w:rPr>
        <w:t xml:space="preserve">Prepare 3 industry-specific demo environments (electronics, auto parts, food/bev) with pre-loaded accounts and scenarios.</w:t>
      </w:r>
    </w:p>
    <w:p>
      <w:pPr>
        <w:pStyle w:val="ListParagraph"/>
        <w:numPr>
          <w:ilvl w:val="0"/>
          <w:numId w:val="3"/>
        </w:numPr>
        <w:spacing w:after="80"/>
      </w:pPr>
      <w:r>
        <w:rPr>
          <w:rFonts w:ascii="Arial" w:cs="Arial" w:eastAsia="Arial" w:hAnsi="Arial"/>
          <w:b/>
          <w:bCs/>
          <w:color w:val="333333"/>
          <w:sz w:val="22"/>
          <w:szCs w:val="22"/>
        </w:rPr>
        <w:t xml:space="preserve">Next 2 weeks: </w:t>
      </w:r>
      <w:r>
        <w:rPr>
          <w:rFonts w:ascii="Arial" w:cs="Arial" w:eastAsia="Arial" w:hAnsi="Arial"/>
          <w:color w:val="444444"/>
          <w:sz w:val="22"/>
          <w:szCs w:val="22"/>
        </w:rPr>
        <w:t xml:space="preserve">Restructure the workshop deck per the time allocation table above. Move pain-point discovery to the opening.</w:t>
      </w:r>
    </w:p>
    <w:p>
      <w:pPr>
        <w:pStyle w:val="ListParagraph"/>
        <w:numPr>
          <w:ilvl w:val="0"/>
          <w:numId w:val="3"/>
        </w:numPr>
        <w:spacing w:after="80"/>
      </w:pPr>
      <w:r>
        <w:rPr>
          <w:rFonts w:ascii="Arial" w:cs="Arial" w:eastAsia="Arial" w:hAnsi="Arial"/>
          <w:b/>
          <w:bCs/>
          <w:color w:val="333333"/>
          <w:sz w:val="22"/>
          <w:szCs w:val="22"/>
        </w:rPr>
        <w:t xml:space="preserve">Next month: </w:t>
      </w:r>
      <w:r>
        <w:rPr>
          <w:rFonts w:ascii="Arial" w:cs="Arial" w:eastAsia="Arial" w:hAnsi="Arial"/>
          <w:color w:val="444444"/>
          <w:sz w:val="22"/>
          <w:szCs w:val="22"/>
        </w:rPr>
        <w:t xml:space="preserve">Deliver 2–3 workshops to companies in the top 5 niches. Iterate on the format based on engagement patterns.</w:t>
      </w:r>
    </w:p>
    <w:p>
      <w:pPr>
        <w:spacing w:after="200"/>
      </w:pPr>
    </w:p>
    <w:p>
      <w:pPr>
        <w:spacing w:before="400"/>
        <w:jc w:val="center"/>
      </w:pPr>
      <w:r>
        <w:rPr>
          <w:rFonts w:ascii="Arial" w:cs="Arial" w:eastAsia="Arial" w:hAnsi="Arial"/>
          <w:i/>
          <w:iCs/>
          <w:color w:val="666666"/>
          <w:sz w:val="20"/>
          <w:szCs w:val="20"/>
        </w:rPr>
        <w:t xml:space="preserve">— End of Analysis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891B2"/>
        <w:sz w:val="18"/>
        <w:szCs w:val="18"/>
      </w:rPr>
      <w:t xml:space="preserve">Zero to Agent</w:t>
    </w:r>
    <w:r>
      <w:rPr>
        <w:rFonts w:ascii="Arial" w:cs="Arial" w:eastAsia="Arial" w:hAnsi="Arial"/>
        <w:color w:val="666666"/>
        <w:sz w:val="18"/>
        <w:szCs w:val="18"/>
      </w:rPr>
      <w:t xml:space="preserve">  |  Workshop Market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2026-02-14T14:33:30.658Z</dcterms:created>
  <dcterms:modified xsi:type="dcterms:W3CDTF">2026-02-14T14:33:30.659Z</dcterms:modified>
</cp:coreProperties>
</file>

<file path=docProps/custom.xml><?xml version="1.0" encoding="utf-8"?>
<Properties xmlns="http://schemas.openxmlformats.org/officeDocument/2006/custom-properties" xmlns:vt="http://schemas.openxmlformats.org/officeDocument/2006/docPropsVTypes"/>
</file>