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للدروس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3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لأحقق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سأتبع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والمسبق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9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المذاكرة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والفعالة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سأركز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سأستخدم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: 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التواصلية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B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سأشارك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وفهمهم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D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للمخاوف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0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1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المتزايدة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0"/>
        </w:rPr>
        <w:t xml:space="preserve"> ،</w:t>
      </w:r>
    </w:p>
    <w:p w:rsidR="00000000" w:rsidDel="00000000" w:rsidP="00000000" w:rsidRDefault="00000000" w:rsidRPr="00000000" w14:paraId="00000012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 w14:paraId="00000013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0" w:hanging="3741.732283464567"/>
        <w:jc w:val="right"/>
        <w:rPr/>
      </w:pPr>
      <w:r w:rsidDel="00000000" w:rsidR="00000000" w:rsidRPr="00000000">
        <w:rPr>
          <w:rtl w:val="1"/>
        </w:rPr>
        <w:t xml:space="preserve">باختصار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5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hanging="3741.732283464567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