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4942"/>
                                  <w:gridCol w:w="6189"/>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4942"/>
                            <w:gridCol w:w="6189"/>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000000">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53CE85C4" w:rsidR="00802B40" w:rsidRPr="00802B40" w:rsidRDefault="00802B40" w:rsidP="00802B40">
      <w:pPr>
        <w:jc w:val="both"/>
      </w:pPr>
      <w:r w:rsidRPr="00802B40">
        <w:t>Psychological reflection and therapeutic writing support emotional awareness, insight formation, and personal growth. Across both formal psychotherapy and informal self-reflective practices, individuals produce handwritten or semi-structured texts such as journals, therapy notes, worksheets, and reflective exercises (</w:t>
      </w:r>
      <w:r w:rsidR="002004AF" w:rsidRPr="002004AF">
        <w:t>Hill et al., 2007</w:t>
      </w:r>
      <w:r w:rsidRPr="00802B40">
        <w:t xml:space="preserve">; </w:t>
      </w:r>
      <w:r w:rsidR="00A628CC" w:rsidRPr="00A628CC">
        <w:t>Greenberg &amp; Pascual-Leone, 2006</w:t>
      </w:r>
      <w:r w:rsidRPr="00802B40">
        <w:t>). These artefacts often contain rich emotional cues, recurring linguistic patterns, and implicit cognitive framing. Despite their value, such materials are rarely analysed systematically; insight extraction remains largely manual, subjective, and time-intensive (</w:t>
      </w:r>
      <w:r w:rsidR="0037451D" w:rsidRPr="0037451D">
        <w:t>Koleck et al., 2019</w:t>
      </w:r>
      <w:r w:rsidRPr="00802B40">
        <w:t xml:space="preserve">; </w:t>
      </w:r>
      <w:r w:rsidR="00B85A0C" w:rsidRPr="00B85A0C">
        <w:t>Mukherjee et al., 2020</w:t>
      </w:r>
      <w:r w:rsidRPr="00802B40">
        <w:t xml:space="preserve">; </w:t>
      </w:r>
      <w:r w:rsidR="00093B9D" w:rsidRPr="00093B9D">
        <w:t>Turner et al., 2022</w:t>
      </w:r>
      <w:r w:rsidRPr="00802B40">
        <w:t>).</w:t>
      </w:r>
    </w:p>
    <w:p w14:paraId="6E7CEF56" w14:textId="5DDC2057" w:rsidR="00802B40" w:rsidRPr="00802B40" w:rsidRDefault="00802B40" w:rsidP="00802B40">
      <w:pPr>
        <w:jc w:val="both"/>
      </w:pPr>
      <w:r w:rsidRPr="00802B40">
        <w:t>This challenge is particularly evident for handwritten material. While digital mental health tools and text-based analytics have expanded rapidly (</w:t>
      </w:r>
      <w:r w:rsidR="00D27D39" w:rsidRPr="00D27D39">
        <w:t>Inkster et al., 2020</w:t>
      </w:r>
      <w:r w:rsidRPr="00802B40">
        <w:t xml:space="preserve">; </w:t>
      </w:r>
      <w:r w:rsidR="00F76372">
        <w:t>Torous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9598265" w:rsidR="00802B40" w:rsidRPr="00802B40" w:rsidRDefault="00802B40" w:rsidP="00802B40">
      <w:pPr>
        <w:jc w:val="both"/>
      </w:pPr>
      <w:r w:rsidRPr="00802B40">
        <w:t>PsychExtract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and presents them in a form that supports reflection. This aligns with ethical guidance emphasising assistive, non-diagnostic AI in mental health contexts (</w:t>
      </w:r>
      <w:r w:rsidR="002F2E15" w:rsidRPr="002F2E15">
        <w:t>Jacobs et al., 2021</w:t>
      </w:r>
      <w:r w:rsidR="002F2E15">
        <w:t xml:space="preserve">; </w:t>
      </w:r>
      <w:r w:rsidR="00BF39B3" w:rsidRPr="00BF39B3">
        <w:t>Luxton, 2014</w:t>
      </w:r>
      <w:r w:rsidRPr="00802B40">
        <w:t xml:space="preserve">; </w:t>
      </w:r>
      <w:r w:rsidR="00BB36CB" w:rsidRPr="00BB36CB">
        <w:t>Mohammad, 2022</w:t>
      </w:r>
      <w:r w:rsidRPr="00802B40">
        <w:t>).</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6F53D58B" w:rsidR="002149A3" w:rsidRPr="002149A3" w:rsidRDefault="002149A3" w:rsidP="002149A3">
      <w:pPr>
        <w:jc w:val="both"/>
      </w:pPr>
      <w:r w:rsidRPr="002149A3">
        <w:t>This project follows Template 4.1: Orchestrating AI Models to Achieve a Goal. Template 4.1 suits PsychExtract because the contribution lies in system-level integration rather than a single novel model. 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616669" w:rsidRPr="00616669">
        <w:t>Doshi-Velez &amp; Kim, 2017</w:t>
      </w:r>
      <w:r w:rsidR="00616669">
        <w:t xml:space="preserve">; </w:t>
      </w:r>
      <w:r w:rsidR="00D27D39" w:rsidRPr="00D27D39">
        <w:t>Inkster et al., 2020</w:t>
      </w:r>
      <w:r w:rsidR="00D27D39">
        <w:t xml:space="preserve">; </w:t>
      </w:r>
      <w:r w:rsidR="004467D2" w:rsidRPr="004467D2">
        <w:t>Koleck et al., 2019</w:t>
      </w:r>
      <w:r w:rsidRPr="002149A3">
        <w:t xml:space="preserve">;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286C04B6" w:rsidR="002149A3" w:rsidRPr="002149A3" w:rsidRDefault="002149A3" w:rsidP="002149A3">
      <w:pPr>
        <w:jc w:val="both"/>
      </w:pPr>
      <w:r w:rsidRPr="002149A3">
        <w:t>This orchestration-focused approach aligns with research advocating transparent, modular AI systems in sensitive domains, where trust and explainability are as important as technical performance (</w:t>
      </w:r>
      <w:r w:rsidR="00616669" w:rsidRPr="00616669">
        <w:t>Doshi-Velez &amp; Kim, 2017</w:t>
      </w:r>
      <w:r w:rsidR="00616669">
        <w:t xml:space="preserve">; </w:t>
      </w:r>
      <w:r w:rsidR="002F2E15" w:rsidRPr="002F2E15">
        <w:t>Jacobs et al., 2021</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lastRenderedPageBreak/>
        <w:t>Project Aims and Objectives</w:t>
      </w:r>
      <w:bookmarkEnd w:id="3"/>
    </w:p>
    <w:p w14:paraId="7CA207AE" w14:textId="5238A1C4" w:rsidR="00AB1899" w:rsidRPr="00AB1899" w:rsidRDefault="00AB1899" w:rsidP="00AB1899">
      <w:pPr>
        <w:jc w:val="both"/>
      </w:pPr>
      <w:r w:rsidRPr="00AB1899">
        <w:t>The overarching aim is to support reflective understanding of handwritten text through structured, interpretable computational analysis. PsychExtract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29668E93" w:rsidR="00AB1899" w:rsidRPr="00AB1899" w:rsidRDefault="00AB1899" w:rsidP="00AB1899">
      <w:pPr>
        <w:jc w:val="both"/>
      </w:pPr>
      <w:r w:rsidRPr="00AB1899">
        <w:t>To achieve this, the project designs a modular pipeline converting handwritten reflective text into digital representations. OCR forms the foundation, as errors here propagate downstream. Following digitisation, emotion classification uses transformer-based models selected for performance and interpretability (</w:t>
      </w:r>
      <w:r w:rsidR="00AD0029" w:rsidRPr="00AD0029">
        <w:t>Demszky et al., 2020</w:t>
      </w:r>
      <w:r w:rsidRPr="00AB1899">
        <w:t xml:space="preserve">; </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Linguistic pattern extraction identifies recurring keywords, phrasing, and framing strategies signaling cognitive or emotional emphasis (</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412F30EF" w:rsidR="00910E9E" w:rsidRPr="00910E9E" w:rsidRDefault="00910E9E" w:rsidP="000759D5">
      <w:pPr>
        <w:jc w:val="both"/>
      </w:pPr>
      <w:r w:rsidRPr="00910E9E">
        <w:t>PsychExtract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A06C29">
        <w:rPr>
          <w:szCs w:val="24"/>
        </w:rPr>
        <w:t xml:space="preserve">; </w:t>
      </w:r>
      <w:r w:rsidR="00A628CC" w:rsidRPr="00A628CC">
        <w:rPr>
          <w:szCs w:val="24"/>
        </w:rPr>
        <w:t>Greenberg &amp; Pascual-Leone, 2006</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0A701710" w14:textId="6421D640" w:rsidR="00910E9E" w:rsidRPr="00910E9E" w:rsidRDefault="00910E9E" w:rsidP="000759D5">
      <w:pPr>
        <w:jc w:val="both"/>
      </w:pPr>
      <w:r w:rsidRPr="00910E9E">
        <w:t>The primary target users include students engaging in reflective writing as part of their academic or personal development, individuals who journal as a form of emotional processing, and therapy-adjacent users who reflect on experiences between sessions or prepare written material for discussion.</w:t>
      </w:r>
      <w:r w:rsidR="00BC0771">
        <w:t xml:space="preserve"> </w:t>
      </w:r>
      <w:r w:rsidR="00BC0771" w:rsidRPr="00BC0771">
        <w:t xml:space="preserve">Similar user groups have been identified in prior research on digital mental health tools and reflective technologies </w:t>
      </w:r>
      <w:r w:rsidR="00B3590A">
        <w:t>(</w:t>
      </w:r>
      <w:r w:rsidR="00A84181" w:rsidRPr="00A84181">
        <w:t>Ben-Zeev et al., 2013</w:t>
      </w:r>
      <w:r w:rsidR="00A84181">
        <w:t xml:space="preserve">; </w:t>
      </w:r>
      <w:r w:rsidR="00D27D39" w:rsidRPr="00D27D39">
        <w:rPr>
          <w:szCs w:val="24"/>
        </w:rPr>
        <w:t>Inkster et al., 2020</w:t>
      </w:r>
      <w:r w:rsidR="00B3590A">
        <w:rPr>
          <w:szCs w:val="24"/>
        </w:rPr>
        <w:t xml:space="preserve">; </w:t>
      </w:r>
      <w:r w:rsidR="00F76372">
        <w:t>Torous et al., 2018</w:t>
      </w:r>
      <w:r w:rsidR="00B3590A">
        <w:rPr>
          <w:szCs w:val="24"/>
        </w:rPr>
        <w:t>)</w:t>
      </w:r>
      <w:r w:rsidR="00BC0771" w:rsidRPr="00BC0771">
        <w:t>.</w:t>
      </w:r>
      <w:r w:rsidRPr="00910E9E">
        <w:t xml:space="preserve"> In all cases, the system is positioned as an assistive tool rather than an authority. It structures and summarises content supplied by the user without interpreting intent, assigning diagnoses, or offering recommendations.</w:t>
      </w:r>
    </w:p>
    <w:p w14:paraId="2134B155" w14:textId="5DD3CA5F" w:rsidR="00910E9E" w:rsidRDefault="00910E9E" w:rsidP="00530382">
      <w:pPr>
        <w:jc w:val="both"/>
      </w:pPr>
      <w:r w:rsidRPr="00910E9E">
        <w:t>Maintaining clear boundaries around system capability is a central design principle of the project. PsychExtract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t>Contributions and Originality</w:t>
      </w:r>
      <w:bookmarkEnd w:id="5"/>
    </w:p>
    <w:p w14:paraId="7AE7E3BF" w14:textId="0DBEA27D" w:rsidR="00AE3606" w:rsidRPr="00AE3606" w:rsidRDefault="00AE3606" w:rsidP="00AE3606">
      <w:pPr>
        <w:jc w:val="both"/>
      </w:pPr>
      <w:r w:rsidRPr="00AE3606">
        <w:t xml:space="preserve">The originality of PsychExtract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AD0029" w:rsidRPr="00AD0029">
        <w:rPr>
          <w:szCs w:val="24"/>
        </w:rPr>
        <w:t>Demszky et al., 2020</w:t>
      </w:r>
      <w:r w:rsidR="004C1784">
        <w:rPr>
          <w:szCs w:val="24"/>
        </w:rPr>
        <w:t xml:space="preserve">; </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w:t>
      </w:r>
      <w:r w:rsidRPr="00AE3606">
        <w:lastRenderedPageBreak/>
        <w:t>focused framework represents a novel application</w:t>
      </w:r>
      <w:r w:rsidR="00122059">
        <w:t xml:space="preserve"> </w:t>
      </w:r>
      <w:r w:rsidR="00122059" w:rsidRPr="00122059">
        <w:t xml:space="preserve">aligned with ethical AI design principles </w:t>
      </w:r>
      <w:r w:rsidR="00731635">
        <w:t>(</w:t>
      </w:r>
      <w:r w:rsidR="00616669" w:rsidRPr="00616669">
        <w:t>Doshi-Velez &amp; Kim, 2017</w:t>
      </w:r>
      <w:r w:rsidR="006821BB">
        <w:t xml:space="preserve">; </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r w:rsidRPr="00AE3606">
        <w:t>PsychExtract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PsychExtract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This challenge motivates PsychExtract</w:t>
      </w:r>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xml:space="preserve">. </w:t>
      </w:r>
      <w:r>
        <w:lastRenderedPageBreak/>
        <w:t>R</w:t>
      </w:r>
      <w:r w:rsidRPr="00C15C3B">
        <w:t>ather, PsychExtract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3413C383" w14:textId="23EDACBD" w:rsidR="00B5400C" w:rsidRDefault="00B5400C" w:rsidP="00B5400C">
      <w:pPr>
        <w:jc w:val="both"/>
      </w:pPr>
      <w:r w:rsidRPr="00336836">
        <w:t>The use of artificial intelligence in mental-health contexts is not new. DeVault et al. introduced SimSensei</w:t>
      </w:r>
      <w:r>
        <w:t xml:space="preserve"> </w:t>
      </w:r>
      <w:r w:rsidR="00F75CC2">
        <w:t>(</w:t>
      </w:r>
      <w:r w:rsidR="0003213D" w:rsidRPr="0003213D">
        <w:rPr>
          <w:szCs w:val="24"/>
        </w:rPr>
        <w:t>DeVault et al., 2014</w:t>
      </w:r>
      <w:r w:rsidR="00F75CC2">
        <w:rPr>
          <w:szCs w:val="24"/>
        </w:rPr>
        <w:t>)</w:t>
      </w:r>
      <w:r w:rsidRPr="00336836">
        <w:t xml:space="preserve">, a virtual interviewer </w:t>
      </w:r>
      <w:r w:rsidR="00CE48AF">
        <w:t>(</w:t>
      </w:r>
      <w:r w:rsidR="003518F7">
        <w:t>which is captured</w:t>
      </w:r>
      <w:r w:rsidR="00CE48AF">
        <w:t xml:space="preserve"> in Figure 1) </w:t>
      </w:r>
      <w:r w:rsidRPr="00336836">
        <w:t>designed to detect psychological distress from verbal and nonverbal behaviour. Their work demonstrates several key findings relevant to PsychExtract</w:t>
      </w:r>
      <w:r>
        <w:t xml:space="preserve">. Notably, </w:t>
      </w:r>
      <w:r w:rsidRPr="00336836">
        <w:t>people often disclose more openly when interacting with automated systems, and even simple computational methods can highlight meaningful psychological cues (such as sentiment shifts or linguistic markers of distress).</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Ellie, the virtual human interviewer used in the SimSensei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r w:rsidRPr="00336836">
        <w:t xml:space="preserve">SimSensei’s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r w:rsidRPr="00336836">
        <w:t>PsychExtract diverges from this setting in two important ways. First, it is non-conversational</w:t>
      </w:r>
      <w:r>
        <w:t>. U</w:t>
      </w:r>
      <w:r w:rsidRPr="00336836">
        <w:t>sers provide reflective text, and the system produces an analysis, not an ongoing dialogue. Second, it does not operate in real-time. These affordances allow PsychExtract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xisting work shows that AI can highlight clinically relevant linguistic cues, and PsychExtract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 xml:space="preserve">Before examining technical methods, it is important to clarify terminology for non-specialist readers. NLP refers to computational techniques for analysing or generating human language. </w:t>
      </w:r>
      <w:r w:rsidRPr="00E2066F">
        <w:lastRenderedPageBreak/>
        <w:t>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This section details the three components of insight that PsychExtract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By connecting these components to the earlier theory section, PsychExtract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(GoEmotions)</w:t>
      </w:r>
      <w:bookmarkEnd w:id="17"/>
      <w:bookmarkEnd w:id="18"/>
    </w:p>
    <w:p w14:paraId="62282723" w14:textId="26AC3446" w:rsidR="00B5400C" w:rsidRDefault="00B5400C" w:rsidP="00B5400C">
      <w:pPr>
        <w:jc w:val="both"/>
      </w:pPr>
      <w:r w:rsidRPr="008470C6">
        <w:t xml:space="preserve">Demszky et al. introduce GoEmotions,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4D357BCE">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r w:rsidR="00B814AB" w:rsidRPr="00B814AB">
        <w:rPr>
          <w:i/>
          <w:iCs/>
        </w:rPr>
        <w:t>GoEmotions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r w:rsidRPr="008470C6">
        <w:t xml:space="preserve">GoEmotions is valuable as a baseline for PsychExtract,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PsychExtract uses GoEmotions models for initial benchmarking but extends beyond the dataset by incorporating long-form reflective text</w:t>
      </w:r>
      <w:r>
        <w:t>. This is in the form of</w:t>
      </w:r>
      <w:r w:rsidRPr="008470C6">
        <w:t xml:space="preserve"> available corpora (such as r/offmychest)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By grounding the emotional component of insight in this literature, PsychExtract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t xml:space="preserve">Cognitive Theme Extraction and Topic Representations (KeyBERT </w:t>
      </w:r>
      <w:r>
        <w:t>and</w:t>
      </w:r>
      <w:r w:rsidRPr="00C15C3B">
        <w:t xml:space="preserve"> BERTopic)</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PsychExtract evaluates two widely used NLP tools.</w:t>
      </w:r>
    </w:p>
    <w:p w14:paraId="1D33C4D8" w14:textId="74F9BAA9" w:rsidR="00B5400C" w:rsidRDefault="00011440" w:rsidP="00B5400C">
      <w:pPr>
        <w:jc w:val="both"/>
      </w:pPr>
      <w:r w:rsidRPr="00A41E7C">
        <w:rPr>
          <w:noProof/>
        </w:rPr>
        <w:lastRenderedPageBreak/>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5400C" w:rsidRPr="006E2436">
        <w:t xml:space="preserve">KeyBERT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B5400C" w:rsidRPr="006E2436">
        <w:t>Because it relies on Sentence-BERT embeddings, it captures meaning beyond simple word counts and is transparent enough to be interpretable by therapists. This makes KeyBERT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r w:rsidR="0058765B" w:rsidRPr="0058765B">
        <w:rPr>
          <w:rStyle w:val="SubtleEmphasis"/>
        </w:rPr>
        <w:t xml:space="preserve">KeyBERT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However, KeyBERT provides surface-level patterns and cannot capture broader shifts in meaning across a document. To complement this, PsychExtract includes a comparison with BERTopic,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Figture </w:t>
      </w:r>
      <w:r w:rsidR="00E41A46">
        <w:t>4</w:t>
      </w:r>
      <w:r w:rsidRPr="006E2436">
        <w:t>. While more complex, BERTopic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r w:rsidR="001369BE" w:rsidRPr="001369BE">
        <w:rPr>
          <w:rStyle w:val="SubtleEmphasis"/>
        </w:rPr>
        <w:t xml:space="preserve">BERTopic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r w:rsidRPr="00040EA5">
        <w:lastRenderedPageBreak/>
        <w:t>PsychExtract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To address this limitation, PsychExtract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r w:rsidRPr="00BB2BA3">
        <w:t>PsychExtract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Once textual insight has been extracted, PsychExtract produces an accessible output for users. Shen et al. introduced Tacotron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lastRenderedPageBreak/>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In PsychExtract,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PsychExtract.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PsychExtract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07AE069B" w14:textId="47039D2F" w:rsidR="00045F25" w:rsidRPr="00045F25" w:rsidRDefault="00045F25" w:rsidP="00045F25">
      <w:pPr>
        <w:jc w:val="both"/>
      </w:pPr>
      <w:bookmarkStart w:id="34" w:name="_Toc215814050"/>
      <w:r w:rsidRPr="00045F25">
        <w:t xml:space="preserve">PsychExtract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aligns with research emphasising insight formation as central to psychological change while cautioning against automated clinical interpretation (Hill et al., 2007; </w:t>
      </w:r>
      <w:r w:rsidR="00A628CC" w:rsidRPr="00A628CC">
        <w:t>Greenberg &amp; Pascual-Leone, 2006</w:t>
      </w:r>
      <w:r w:rsidRPr="00045F25">
        <w:t xml:space="preserve">; </w:t>
      </w:r>
      <w:r w:rsidR="00BF39B3" w:rsidRPr="00BF39B3">
        <w:t>Luxton, 2014</w:t>
      </w:r>
      <w:r w:rsidRPr="00045F25">
        <w:t>).</w:t>
      </w:r>
    </w:p>
    <w:p w14:paraId="3A400F7F" w14:textId="00A2C9FA" w:rsidR="00045F25" w:rsidRPr="00045F25" w:rsidRDefault="00045F25" w:rsidP="00045F25">
      <w:pPr>
        <w:jc w:val="both"/>
      </w:pPr>
      <w:r w:rsidRPr="00045F25">
        <w:t xml:space="preserve">At a system level, PsychExtract transforms unstructured textual material (e.g., journals, reflective essays, therapy-adjacent notes) into structured, inspectable outputs that prompt reflection without </w:t>
      </w:r>
      <w:r w:rsidRPr="00045F25">
        <w:lastRenderedPageBreak/>
        <w:t>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Pr="00045F25">
        <w:t xml:space="preserve">; </w:t>
      </w:r>
      <w:r w:rsidR="002F2E15" w:rsidRPr="002F2E15">
        <w:t>Jacobs et al., 2021</w:t>
      </w:r>
      <w:r w:rsidRPr="00045F25">
        <w:t>).</w:t>
      </w:r>
    </w:p>
    <w:p w14:paraId="469F54E7" w14:textId="463C8A52" w:rsidR="00045F25" w:rsidRPr="00045F25" w:rsidRDefault="00045F25" w:rsidP="00045F25">
      <w:pPr>
        <w:jc w:val="both"/>
      </w:pPr>
      <w:r w:rsidRPr="00045F25">
        <w:t>Several constraints are embedded in the design. First, PsychExtract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r w:rsidRPr="00045F25">
        <w:t>PsychExtract is guided by four principles: transparency, modularity, error tolerance, and user trust, embedded in both interface and architecture.</w:t>
      </w:r>
    </w:p>
    <w:p w14:paraId="06191EB7" w14:textId="4BCEAEC0"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6821BB" w:rsidRPr="006821BB">
        <w:t>Doshi-Velez &amp; Kim, 2017</w:t>
      </w:r>
      <w:r w:rsidRPr="00045F25">
        <w:t xml:space="preserve">; </w:t>
      </w:r>
      <w:r w:rsidR="00BB36CB" w:rsidRPr="00BB36CB">
        <w:t>Mohammad, 2022</w:t>
      </w:r>
      <w:r w:rsidRPr="00045F25">
        <w:t>).</w:t>
      </w:r>
    </w:p>
    <w:p w14:paraId="0CBBF420" w14:textId="121DD997" w:rsidR="00045F25" w:rsidRPr="00045F25" w:rsidRDefault="00045F25" w:rsidP="00045F25">
      <w:pPr>
        <w:jc w:val="both"/>
      </w:pPr>
      <w:r w:rsidRPr="00045F25">
        <w:t>PsychExtract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r w:rsidR="00F76372">
        <w:t>Torous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t>Domain</w:t>
      </w:r>
      <w:r w:rsidR="005015B2">
        <w:t>-</w:t>
      </w:r>
      <w:r>
        <w:t xml:space="preserve"> and User</w:t>
      </w:r>
      <w:bookmarkEnd w:id="34"/>
      <w:bookmarkEnd w:id="36"/>
      <w:r w:rsidR="005015B2">
        <w:t>-Framing in Design</w:t>
      </w:r>
      <w:bookmarkEnd w:id="37"/>
    </w:p>
    <w:p w14:paraId="2DC19458" w14:textId="405EE83B" w:rsidR="005015B2" w:rsidRPr="005015B2" w:rsidRDefault="005015B2" w:rsidP="005015B2">
      <w:pPr>
        <w:jc w:val="both"/>
      </w:pPr>
      <w:r w:rsidRPr="005015B2">
        <w:t xml:space="preserve">PsychExtract operates within the broader domain of mental health support, self-reflection, and therapeutic-adjacent technologies. Its focus is not on clinical intervention but on assisting reflective practices where emotional awareness and insight formation are valuable. Prior research highlights </w:t>
      </w:r>
      <w:r w:rsidRPr="005015B2">
        <w:lastRenderedPageBreak/>
        <w:t>the potential of structured language analysis to support psychological understanding while simultaneously emphasising the risks of over-automation and misinterpretation in mental health contexts (</w:t>
      </w:r>
      <w:r w:rsidR="00D27D39" w:rsidRPr="00D27D39">
        <w:t>Inkster et al., 2020</w:t>
      </w:r>
      <w:r w:rsidRPr="005015B2">
        <w:t xml:space="preserve">; </w:t>
      </w:r>
      <w:r w:rsidR="00BB36CB" w:rsidRPr="00BB36CB">
        <w:t>Mohammad, 2022</w:t>
      </w:r>
      <w:r w:rsidR="00BB36CB">
        <w:t xml:space="preserve">; </w:t>
      </w:r>
      <w:r w:rsidR="00F76372">
        <w:t>Torous et al., 2018</w:t>
      </w:r>
      <w:r w:rsidRPr="005015B2">
        <w:t>).</w:t>
      </w:r>
    </w:p>
    <w:p w14:paraId="7664B155" w14:textId="77777777" w:rsidR="005015B2" w:rsidRPr="005015B2" w:rsidRDefault="005015B2" w:rsidP="005015B2">
      <w:pPr>
        <w:jc w:val="both"/>
      </w:pPr>
      <w:r w:rsidRPr="005015B2">
        <w:t>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PsychExtract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091A4C09" w:rsidR="003C6DBD" w:rsidRPr="00181320" w:rsidRDefault="0042304F" w:rsidP="00181320">
      <w:pPr>
        <w:jc w:val="both"/>
        <w:rPr>
          <w:rStyle w:val="SubtleEmphasis"/>
          <w:i w:val="0"/>
          <w:iCs w:val="0"/>
          <w:color w:val="auto"/>
        </w:rPr>
      </w:pPr>
      <w:bookmarkStart w:id="40" w:name="_Toc215814054"/>
      <w:bookmarkStart w:id="41" w:name="_Toc216862642"/>
      <w:r w:rsidRPr="0042304F">
        <w:t>PsychExtract is organised as a modular pipeline composed of interoperable components</w:t>
      </w:r>
      <w:r>
        <w:t xml:space="preserve"> (OCR, NLP with an interpretability layer, and TTS)</w:t>
      </w:r>
      <w:r w:rsidRPr="0042304F">
        <w:t>, each responsible for a specific transformation of the data. This architectural choice reflects findings from prior work showing that clinicians and users prefer systems that expose intermediate reasoning steps and allow scrutiny of automated outputs (</w:t>
      </w:r>
      <w:r w:rsidR="002F2E15" w:rsidRPr="002F2E15">
        <w:t>Jacobs et al., 2021</w:t>
      </w:r>
      <w:r w:rsidRPr="0042304F">
        <w:t xml:space="preserve">; </w:t>
      </w:r>
      <w:r w:rsidR="00093B9D" w:rsidRPr="00093B9D">
        <w:t>Turner et al., 2022</w:t>
      </w:r>
      <w:r w:rsidRPr="0042304F">
        <w:t>).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197A0F97" w:rsidR="000A31B8" w:rsidRPr="000A31B8" w:rsidRDefault="000A31B8" w:rsidP="000A31B8">
      <w:pPr>
        <w:jc w:val="both"/>
      </w:pPr>
      <w:bookmarkStart w:id="43" w:name="_Toc215814055"/>
      <w:bookmarkStart w:id="44" w:name="_Toc216862643"/>
      <w:r w:rsidRPr="000A31B8">
        <w:t>The OCR component converts scanned documents, photographs, or PDFs containing handwritten or typed text into machine-readable form. Two open-source OCR engines are considered: Tesseract and EasyOCR. Tesseract is a lightweight, widely used engine with strong performance on clean, printed text (</w:t>
      </w:r>
      <w:r w:rsidR="00232AD4" w:rsidRPr="00232AD4">
        <w:t>Patel et al., 2012</w:t>
      </w:r>
      <w:r w:rsidR="00232AD4">
        <w:t xml:space="preserve">; </w:t>
      </w:r>
      <w:r w:rsidR="00C0602E" w:rsidRPr="00C0602E">
        <w:t>Smith, 2007</w:t>
      </w:r>
      <w:r w:rsidRPr="000A31B8">
        <w:t>), while EasyOCR employs deep learning architectures that are more robust to noisy inputs and variable handwriting styles (JaidedAI, 2024).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t>Emotion Classification</w:t>
      </w:r>
      <w:bookmarkEnd w:id="43"/>
      <w:bookmarkEnd w:id="44"/>
      <w:bookmarkEnd w:id="45"/>
    </w:p>
    <w:p w14:paraId="72DF4EFE" w14:textId="554291D1"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(Hill et al., 2007</w:t>
      </w:r>
      <w:r w:rsidR="00A628CC">
        <w:rPr>
          <w:szCs w:val="24"/>
        </w:rPr>
        <w:t xml:space="preserve">, </w:t>
      </w:r>
      <w:r w:rsidR="00A628CC" w:rsidRPr="00A628CC">
        <w:rPr>
          <w:szCs w:val="24"/>
        </w:rPr>
        <w:t>Greenberg &amp; Pascual-Leone, 2006</w:t>
      </w:r>
      <w:r w:rsidRPr="00BF238B">
        <w:rPr>
          <w:szCs w:val="24"/>
        </w:rPr>
        <w:t>). PsychExtract employs pre-trained transformer-</w:t>
      </w:r>
      <w:r w:rsidRPr="00BF238B">
        <w:rPr>
          <w:szCs w:val="24"/>
        </w:rPr>
        <w:lastRenderedPageBreak/>
        <w:t>based models fine-tuned for multi-label emotion classification using the GoEmotions dataset (</w:t>
      </w:r>
      <w:r w:rsidR="00AD0029" w:rsidRPr="00AD0029">
        <w:rPr>
          <w:szCs w:val="24"/>
        </w:rPr>
        <w:t>Demszky et al., 2020</w:t>
      </w:r>
      <w:r w:rsidRPr="00BF238B">
        <w:rPr>
          <w:szCs w:val="24"/>
        </w:rPr>
        <w:t>).</w:t>
      </w:r>
    </w:p>
    <w:p w14:paraId="7BE66B1E" w14:textId="3B4A0C41" w:rsidR="00BF238B" w:rsidRPr="00BF238B" w:rsidRDefault="00BF238B" w:rsidP="00BF238B">
      <w:pPr>
        <w:jc w:val="both"/>
        <w:rPr>
          <w:szCs w:val="24"/>
        </w:rPr>
      </w:pPr>
      <w:r w:rsidRPr="00BF238B">
        <w:rPr>
          <w:szCs w:val="24"/>
        </w:rPr>
        <w:t>Two models are explicitly considered: DistilBERT and RoBERTa. DistilBERT offers a compressed architecture that retains much of BERT’s representational capacity while reducing computational cost (</w:t>
      </w:r>
      <w:r w:rsidR="00616125" w:rsidRPr="00616125">
        <w:rPr>
          <w:szCs w:val="24"/>
        </w:rPr>
        <w:t>Sanh et al., 2019</w:t>
      </w:r>
      <w:r w:rsidRPr="00BF238B">
        <w:rPr>
          <w:szCs w:val="24"/>
        </w:rPr>
        <w:t>), making it suitable for resource-constrained environments. RoBERTa,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To contextualise emotion predictions, PsychExtract includes a linguistic feature extraction component that identifies salient words, phrases, or patterns associated with emotional signals. Embedding-based methods such as KeyBERT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lastRenderedPageBreak/>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63C0146F" w14:textId="6F2EE69E" w:rsidR="00A165F0" w:rsidRDefault="00A165F0" w:rsidP="00476CC6">
      <w:pPr>
        <w:jc w:val="both"/>
        <w:rPr>
          <w:szCs w:val="24"/>
        </w:rPr>
      </w:pPr>
      <w:r w:rsidRPr="00A165F0">
        <w:rPr>
          <w:szCs w:val="24"/>
        </w:rPr>
        <w:t>Two TTS approaches are considered: neural synthesis via Coqui TTS, which offers high-quality speech generation (Coqui.ai, 2025), and pyttsx3, which provides a lightweight offline alternative suitable for constrained environments (</w:t>
      </w:r>
      <w:r w:rsidR="006C2AFF" w:rsidRPr="006C2AFF">
        <w:rPr>
          <w:szCs w:val="24"/>
        </w:rPr>
        <w:t>pyttsx3.readthedocs.io, 2025</w:t>
      </w:r>
      <w:r w:rsidRPr="00A165F0">
        <w:rPr>
          <w:szCs w:val="24"/>
        </w:rPr>
        <w:t>). The UI at this stage remains deliberately minimal, prioritising clarity, editability, and progressive disclosure of information over visual richness.</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t xml:space="preserve">Architecture and </w:t>
      </w:r>
      <w:bookmarkEnd w:id="51"/>
      <w:bookmarkEnd w:id="52"/>
      <w:r w:rsidR="00E307F5">
        <w:t>Data Flow</w:t>
      </w:r>
      <w:bookmarkEnd w:id="53"/>
    </w:p>
    <w:p w14:paraId="0E3EDB13" w14:textId="65DCCABE" w:rsidR="00476CC6" w:rsidRPr="00790E1B" w:rsidRDefault="00476CC6" w:rsidP="00790E1B">
      <w:pPr>
        <w:jc w:val="both"/>
      </w:pPr>
      <w:r w:rsidRPr="00837EFB">
        <w:rPr>
          <w:szCs w:val="24"/>
        </w:rPr>
        <w:t xml:space="preserve">PsychExtract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r w:rsidRPr="00837EFB">
        <w:rPr>
          <w:szCs w:val="24"/>
        </w:rPr>
        <w:br w:type="page"/>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lastRenderedPageBreak/>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PsychExtract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Tesseract/EasyOCR</w:t>
      </w:r>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DistilBERT/RoBERTa</w:t>
      </w:r>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r>
        <w:rPr>
          <w:szCs w:val="24"/>
        </w:rPr>
        <w:t>K</w:t>
      </w:r>
      <w:r w:rsidRPr="00837EFB">
        <w:rPr>
          <w:szCs w:val="24"/>
        </w:rPr>
        <w:t xml:space="preserve">eyBERT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t>Early Prototype</w:t>
      </w:r>
      <w:bookmarkEnd w:id="57"/>
      <w:bookmarkEnd w:id="58"/>
      <w:bookmarkEnd w:id="59"/>
    </w:p>
    <w:p w14:paraId="39894565" w14:textId="286902D1" w:rsidR="00062332" w:rsidRPr="00062332" w:rsidRDefault="00335739" w:rsidP="00062332">
      <w:r w:rsidRPr="00062332">
        <w:t>To explore alternative interaction patterns without committing to full implementation</w:t>
      </w:r>
      <w:r w:rsidR="00E8045F">
        <w:t>, interfaces are tested in Figma.</w:t>
      </w:r>
      <w:r w:rsidRPr="00062332">
        <w:t xml:space="preserve"> </w:t>
      </w:r>
      <w:r w:rsidR="00062332" w:rsidRPr="00062332">
        <w:t>Figure 11 presents a low-fidelity Streamlit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lastRenderedPageBreak/>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PsychExtract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B13969">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r w:rsidRPr="00837EFB">
              <w:rPr>
                <w:szCs w:val="24"/>
              </w:rPr>
              <w:t>ocr/</w:t>
            </w:r>
          </w:p>
        </w:tc>
        <w:tc>
          <w:tcPr>
            <w:tcW w:w="5400" w:type="dxa"/>
          </w:tcPr>
          <w:p w14:paraId="55F1168C" w14:textId="77777777" w:rsidR="00476CC6" w:rsidRPr="00837EFB" w:rsidRDefault="00476CC6" w:rsidP="0028752F">
            <w:pPr>
              <w:jc w:val="both"/>
              <w:rPr>
                <w:szCs w:val="24"/>
              </w:rPr>
            </w:pPr>
            <w:r w:rsidRPr="00BB2134">
              <w:rPr>
                <w:szCs w:val="24"/>
              </w:rPr>
              <w:t>OCR wrappers for Tesseract and EasyOCR</w:t>
            </w:r>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r w:rsidRPr="00837EFB">
              <w:rPr>
                <w:szCs w:val="24"/>
              </w:rPr>
              <w:t>nlp/</w:t>
            </w:r>
          </w:p>
        </w:tc>
        <w:tc>
          <w:tcPr>
            <w:tcW w:w="5400" w:type="dxa"/>
          </w:tcPr>
          <w:p w14:paraId="5F51C302" w14:textId="77777777" w:rsidR="00476CC6" w:rsidRPr="00837EFB" w:rsidRDefault="00476CC6" w:rsidP="0028752F">
            <w:pPr>
              <w:jc w:val="both"/>
              <w:rPr>
                <w:szCs w:val="24"/>
              </w:rPr>
            </w:pPr>
            <w:r w:rsidRPr="00837EFB">
              <w:rPr>
                <w:szCs w:val="24"/>
              </w:rPr>
              <w:t>DistilBERT and RoBERTa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r w:rsidRPr="00837EFB">
              <w:rPr>
                <w:szCs w:val="24"/>
              </w:rPr>
              <w:t>KeyBERT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r w:rsidRPr="00837EFB">
              <w:rPr>
                <w:szCs w:val="24"/>
              </w:rPr>
              <w:t>ui/</w:t>
            </w:r>
          </w:p>
        </w:tc>
        <w:tc>
          <w:tcPr>
            <w:tcW w:w="5400" w:type="dxa"/>
          </w:tcPr>
          <w:p w14:paraId="364F88E6" w14:textId="77777777" w:rsidR="00476CC6" w:rsidRPr="00837EFB" w:rsidRDefault="00476CC6" w:rsidP="0028752F">
            <w:pPr>
              <w:jc w:val="both"/>
              <w:rPr>
                <w:szCs w:val="24"/>
              </w:rPr>
            </w:pPr>
            <w:r w:rsidRPr="00837EFB">
              <w:rPr>
                <w:szCs w:val="24"/>
              </w:rPr>
              <w:t>Streamlit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r w:rsidRPr="00837EFB">
        <w:rPr>
          <w:i/>
          <w:iCs/>
          <w:szCs w:val="24"/>
        </w:rPr>
        <w:t xml:space="preserve">PsychExtract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The design of PsychExtract is shaped by several practical constraints relating to technical feasibility, data availability, and project scope.</w:t>
      </w:r>
    </w:p>
    <w:p w14:paraId="781E5D40" w14:textId="2CF6143C" w:rsidR="00F02346"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DistilBERT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OCR performance is sensitive to document quality, handwriting variability, and image noise, constraining accuracy in unconstrained real-world inputs (</w:t>
      </w:r>
      <w:r w:rsidR="00C0602E" w:rsidRPr="00C0602E">
        <w:rPr>
          <w:szCs w:val="24"/>
        </w:rPr>
        <w:t>Smith, 2007</w:t>
      </w:r>
      <w:r w:rsidR="00F02346" w:rsidRPr="00F02346">
        <w:rPr>
          <w:szCs w:val="24"/>
        </w:rPr>
        <w:t>; JaidedAI, 2024).</w:t>
      </w:r>
    </w:p>
    <w:p w14:paraId="3FEC6027" w14:textId="0CFE25FD" w:rsidR="00F02346" w:rsidRPr="00F02346" w:rsidRDefault="00F02346" w:rsidP="00F02346">
      <w:pPr>
        <w:jc w:val="both"/>
        <w:rPr>
          <w:szCs w:val="24"/>
        </w:rPr>
      </w:pPr>
      <w:r w:rsidRPr="00F02346">
        <w:rPr>
          <w:szCs w:val="24"/>
        </w:rPr>
        <w:t xml:space="preserve">Emotion classification is </w:t>
      </w:r>
      <w:r w:rsidR="0003255D" w:rsidRPr="008038E8">
        <w:rPr>
          <w:szCs w:val="24"/>
        </w:rPr>
        <w:t>tested</w:t>
      </w:r>
      <w:r w:rsidRPr="00F02346">
        <w:rPr>
          <w:szCs w:val="24"/>
        </w:rPr>
        <w:t xml:space="preserve"> on the GoEmotions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AD0029" w:rsidRPr="00AD0029">
        <w:rPr>
          <w:szCs w:val="24"/>
        </w:rPr>
        <w:t>Demszky et al., 2020</w:t>
      </w:r>
      <w:r w:rsidRPr="00F02346">
        <w:rPr>
          <w:szCs w:val="24"/>
        </w:rPr>
        <w:t xml:space="preserve">;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lastRenderedPageBreak/>
        <w:t>As an individual academic project</w:t>
      </w:r>
      <w:r w:rsidR="006441BC">
        <w:rPr>
          <w:szCs w:val="24"/>
        </w:rPr>
        <w:t xml:space="preserve"> with time constraints present</w:t>
      </w:r>
      <w:r w:rsidRPr="00F02346">
        <w:rPr>
          <w:szCs w:val="24"/>
        </w:rPr>
        <w:t>, PsychExtract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At the time of writing, PsychExtract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62A38014" w14:textId="079F6B71" w:rsidR="00AD508F" w:rsidRPr="00AD508F" w:rsidRDefault="00AD508F" w:rsidP="00AD508F">
      <w:pPr>
        <w:jc w:val="both"/>
      </w:pPr>
      <w:r w:rsidRPr="00AD508F">
        <w:t>The pipeline</w:t>
      </w:r>
      <w:r w:rsidR="00536EEC">
        <w:t xml:space="preserve"> thusfar</w:t>
      </w:r>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53193D7C" w:rsidR="00317054" w:rsidRPr="00AD508F" w:rsidRDefault="00AD508F" w:rsidP="00AD508F">
      <w:pPr>
        <w:jc w:val="both"/>
      </w:pPr>
      <w:r w:rsidRPr="00AD508F">
        <w:t>This modular orchestration aligns with interpretable machine learning principles (</w:t>
      </w:r>
      <w:r w:rsidR="006821BB" w:rsidRPr="006821BB">
        <w:t>Doshi-Velez &amp; Kim, 2017</w:t>
      </w:r>
      <w:r w:rsidRPr="00AD508F">
        <w:t xml:space="preserve">; </w:t>
      </w:r>
      <w:r w:rsidR="002F2E15" w:rsidRPr="002F2E15">
        <w:t>Jacobs et al., 2021</w:t>
      </w:r>
      <w:r w:rsidRPr="00AD508F">
        <w:t>), ensuring outputs remain user-legible and reproducible. All components are implemented in Python, with deep learning models executed via PyTorch and Hugging Face Transformers (</w:t>
      </w:r>
      <w:r w:rsidR="001E1545" w:rsidRPr="001E1545">
        <w:t>Devlin et al., 2019</w:t>
      </w:r>
      <w:r w:rsidRPr="00AD508F">
        <w:t>).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1358B571">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43E5C100" w14:textId="4C67AF3A" w:rsidR="00FF6BDD" w:rsidRDefault="00FF6BDD" w:rsidP="00451CDC">
      <w:pPr>
        <w:jc w:val="both"/>
      </w:pPr>
      <w:r w:rsidRPr="00FF6BDD">
        <w:t xml:space="preserve">OCR subsystem pipeline (illustrated in Figure </w:t>
      </w:r>
      <w:r w:rsidR="00EE3A66">
        <w:t>12 above</w:t>
      </w:r>
      <w:r w:rsidRPr="00FF6BDD">
        <w:t xml:space="preserve">) implements a feasibility-oriented handwritten text recognition pipeline, combining classical and modern OCR approaches. The subsystem processes standardised input samples (see Figure </w:t>
      </w:r>
      <w:r w:rsidR="00EE3A66">
        <w:t>13</w:t>
      </w:r>
      <w:r w:rsidRPr="00FF6BDD">
        <w:t>), ensuring reproducible evaluation across all engines. Primary recognition engines include the rule-based baseline Tesseract OCR (</w:t>
      </w:r>
      <w:r w:rsidR="00232AD4" w:rsidRPr="00232AD4">
        <w:t>Patel et al., 2012</w:t>
      </w:r>
      <w:r w:rsidR="00232AD4">
        <w:t xml:space="preserve">; </w:t>
      </w:r>
      <w:r w:rsidR="00C0602E" w:rsidRPr="00C0602E">
        <w:t>Smith, 2007</w:t>
      </w:r>
      <w:r w:rsidRPr="00FF6BDD">
        <w:t>), the deep learning-based EasyOCR CNN–RNN architecture (JaidedAI, 2024), and additional exploratory models designed to address the baseline’s character accuracy limitations: PaddleOCR (</w:t>
      </w:r>
      <w:r w:rsidR="00B91B88" w:rsidRPr="00B91B88">
        <w:t>Cui et al., 2025</w:t>
      </w:r>
      <w:r w:rsidRPr="00FF6BDD">
        <w:t>), TrOCR (Li et al., 2021), and Qwen-VL 2.5 (</w:t>
      </w:r>
      <w:r w:rsidR="00880540" w:rsidRPr="00880540">
        <w:t>Bai et al., 2024</w:t>
      </w:r>
      <w:r w:rsidRPr="00FF6BDD">
        <w:t>).</w:t>
      </w:r>
    </w:p>
    <w:p w14:paraId="76B11303" w14:textId="0E75AB49" w:rsidR="00A6021A" w:rsidRPr="006F75CF" w:rsidRDefault="00EE3A66" w:rsidP="006F75CF">
      <w:pPr>
        <w:jc w:val="center"/>
        <w:rPr>
          <w:i/>
          <w:iCs/>
          <w:color w:val="404040" w:themeColor="text1" w:themeTint="BF"/>
        </w:rPr>
      </w:pPr>
      <w:r>
        <w:rPr>
          <w:noProof/>
        </w:rPr>
        <w:lastRenderedPageBreak/>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preprocessed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r w:rsidR="004C3BE2" w:rsidRPr="004C3BE2">
        <w:t>Zuiderveld, 1994</w:t>
      </w:r>
      <w:r w:rsidRPr="001D441C">
        <w:t>)</w:t>
      </w:r>
    </w:p>
    <w:p w14:paraId="01EC8198" w14:textId="14417315" w:rsidR="001D441C" w:rsidRPr="001D441C" w:rsidRDefault="001D441C" w:rsidP="009F3C6B">
      <w:pPr>
        <w:numPr>
          <w:ilvl w:val="0"/>
          <w:numId w:val="13"/>
        </w:numPr>
        <w:spacing w:after="0"/>
        <w:jc w:val="both"/>
      </w:pPr>
      <w:r w:rsidRPr="001D441C">
        <w:lastRenderedPageBreak/>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r w:rsidRPr="0083492F">
        <w:rPr>
          <w:lang w:eastAsia="en-ZA"/>
        </w:rPr>
        <w:t xml:space="preserve">Preprocessed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and has been adopted in OCR-specific architectures such as TrOCR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require explicit GPU configuration to ensure efficient operation. The device_map="auto" setting automatically distributes model layers across available hardware, while half-precision (float16) reduces GPU memory usage without compromising output quality. For stable inference on these large models, a batch size of 1 is recommended. In contrast, smaller engines like TrOCR or EasyOCR are lightweight enough to run without special hardware configuration.</w:t>
      </w:r>
    </w:p>
    <w:p w14:paraId="0DA4CA21" w14:textId="4738633C" w:rsidR="00C43A5D" w:rsidRDefault="00586FF3" w:rsidP="00C43A5D">
      <w:pPr>
        <w:jc w:val="center"/>
        <w:rPr>
          <w:rStyle w:val="SubtleEmphasis"/>
        </w:rPr>
      </w:pPr>
      <w:r w:rsidRPr="00BF0FED">
        <w:rPr>
          <w:noProof/>
        </w:rPr>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lastRenderedPageBreak/>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07087134" w14:textId="2871C041" w:rsidR="00DA457E" w:rsidRPr="00DA457E" w:rsidRDefault="00DA457E" w:rsidP="00DA457E">
      <w:pPr>
        <w:jc w:val="both"/>
      </w:pPr>
      <w:r w:rsidRPr="00DA457E">
        <w:t>The emotion analysis module employs two pretrained transformer-based multi-label classifiers: DistilBERT and RoBERTa. DistilBERT provides a compact, efficient architecture derived from BERT (</w:t>
      </w:r>
      <w:r w:rsidR="00616125" w:rsidRPr="00616125">
        <w:t>Sanh et al., 2019</w:t>
      </w:r>
      <w:r w:rsidRPr="00DA457E">
        <w:t>), while RoBERTa offers enhanced representational capacity through robust pretraining strategies (</w:t>
      </w:r>
      <w:r w:rsidR="000B348A" w:rsidRPr="000B348A">
        <w:rPr>
          <w:szCs w:val="24"/>
        </w:rPr>
        <w:t>Liu et al., 2019</w:t>
      </w:r>
      <w:r w:rsidRPr="00DA457E">
        <w:t>).</w:t>
      </w:r>
    </w:p>
    <w:p w14:paraId="03CA13D3" w14:textId="3BD897E9" w:rsidR="000E6880" w:rsidRDefault="00DA457E" w:rsidP="00DA457E">
      <w:pPr>
        <w:jc w:val="both"/>
      </w:pPr>
      <w:r w:rsidRPr="00DA457E">
        <w:t>Specifically, the project uses the pretrained model bhadresh-savani/distilbert-base-uncased-emotion</w:t>
      </w:r>
      <w:r w:rsidR="000D07F9">
        <w:t xml:space="preserve"> (</w:t>
      </w:r>
      <w:r w:rsidR="0096527F" w:rsidRPr="0096527F">
        <w:t>Bhadresh Savani, 2022</w:t>
      </w:r>
      <w:r w:rsidR="000D07F9">
        <w:t>)</w:t>
      </w:r>
      <w:r w:rsidRPr="00DA457E">
        <w:t xml:space="preserve"> for DistilBERT</w:t>
      </w:r>
      <w:r>
        <w:t xml:space="preserve"> which is </w:t>
      </w:r>
      <w:r w:rsidRPr="00DA457E">
        <w:t>already fine-tuned on GoEmotions (</w:t>
      </w:r>
      <w:r w:rsidR="00AD0029" w:rsidRPr="00AD0029">
        <w:t>Demszky et al., 2020</w:t>
      </w:r>
      <w:r w:rsidRPr="00DA457E">
        <w:t>)</w:t>
      </w:r>
      <w:r w:rsidR="000D07F9">
        <w:t xml:space="preserve"> which</w:t>
      </w:r>
      <w:r w:rsidRPr="00DA457E">
        <w:t xml:space="preserve"> aligns with the project’s six-emotion framework</w:t>
      </w:r>
      <w:r w:rsidR="00BD1681">
        <w:t>.</w:t>
      </w:r>
      <w:r w:rsidRPr="00DA457E">
        <w:t xml:space="preserve"> </w:t>
      </w:r>
    </w:p>
    <w:p w14:paraId="1E1E0955" w14:textId="158B2A04" w:rsidR="000E6880" w:rsidRDefault="00DA457E" w:rsidP="00DA457E">
      <w:pPr>
        <w:jc w:val="both"/>
      </w:pPr>
      <w:r w:rsidRPr="00DA457E">
        <w:t>cardiffnlp/twitter-roberta-base-emotion-multilabel-latest</w:t>
      </w:r>
      <w:r w:rsidR="00BD1681">
        <w:t xml:space="preserve"> (</w:t>
      </w:r>
      <w:r w:rsidR="00A84181" w:rsidRPr="00A84181">
        <w:t>CardiffNLP, 2023</w:t>
      </w:r>
      <w:r w:rsidR="00BD1681">
        <w:t>)</w:t>
      </w:r>
      <w:r w:rsidRPr="00DA457E">
        <w:t xml:space="preserve"> </w:t>
      </w:r>
      <w:r w:rsidR="000E6880">
        <w:t xml:space="preserve">is used </w:t>
      </w:r>
      <w:r w:rsidRPr="00DA457E">
        <w:t xml:space="preserve">for RoBERTa,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To balance computational efficiency and reproducibility, the emotion analysis module executes inference in batches. A typical batch size of 16 was chosen to leverage GPU parallelism without 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lastRenderedPageBreak/>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 xml:space="preserve">Inference timing was systematically recorded for all models using a dedicated evaluation function (run_inference_with_timing). For each model, the function measures total runtime, computes average time per sample, and logs device, batch size, and number of samples. This procedure ensures transparency of performance and supports reproducibility, particularly when comparing DistilBERT (efficient, compact) and RoBERTa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run_inference_with_timing,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16CED689" w14:textId="7D168410" w:rsidR="001556C5" w:rsidRPr="007C03DE" w:rsidRDefault="001556C5" w:rsidP="001556C5">
      <w:pPr>
        <w:jc w:val="both"/>
      </w:pPr>
      <w:r w:rsidRPr="007C03DE">
        <w:t xml:space="preserve">Input text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rsidRPr="007C03DE">
        <w:rPr>
          <w:rFonts w:eastAsiaTheme="minorEastAsia"/>
        </w:rPr>
        <w:t xml:space="preserve"> </w:t>
      </w:r>
      <w:r w:rsidRPr="007C03DE">
        <w:t xml:space="preserve">is tokenised using the corresponding pretrained tokenizer and truncated to a fixed maximum sequence length. </w:t>
      </w:r>
      <w:r w:rsidR="00C57C96" w:rsidRPr="00C57C96">
        <w:t>Emotion probabilities for each label are computed by applying a sigmoid activation over the model logits, a standard approach in multi-label classification (</w:t>
      </w:r>
      <w:r w:rsidR="007A46F6" w:rsidRPr="007A46F6">
        <w:t>Goodfellow, Bengio &amp; Courville, 2016</w:t>
      </w:r>
      <w:r w:rsidR="00C57C96" w:rsidRPr="00C57C96">
        <w:t>; Vaswani et al., 2017; Li et al., 2021)</w:t>
      </w:r>
      <w:r w:rsidR="00D430AD">
        <w:t>:</w:t>
      </w:r>
    </w:p>
    <w:p w14:paraId="1808FABF" w14:textId="494D4400" w:rsidR="001556C5" w:rsidRPr="007C03DE" w:rsidRDefault="00000000" w:rsidP="001556C5">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m:rPr>
                  <m:nor/>
                </m:rPr>
                <m:t>logits</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m:t>
          </m:r>
          <m:r>
            <w:rPr>
              <w:rFonts w:ascii="Cambria Math" w:hAnsi="Cambria Math"/>
            </w:rPr>
            <m:t>K</m:t>
          </m:r>
          <m:r>
            <m:rPr>
              <m:sty m:val="p"/>
            </m:rPr>
            <w:rPr>
              <w:rFonts w:ascii="Cambria Math" w:hAnsi="Cambria Math"/>
            </w:rPr>
            <m:t>}</m:t>
          </m:r>
        </m:oMath>
      </m:oMathPara>
    </w:p>
    <w:p w14:paraId="2B8834F9" w14:textId="6A336853" w:rsidR="001556C5" w:rsidRPr="007C03DE" w:rsidRDefault="007C03DE" w:rsidP="001556C5">
      <w:pPr>
        <w:ind w:left="720"/>
      </w:pPr>
      <m:oMath>
        <m:r>
          <m:rPr>
            <m:sty m:val="p"/>
          </m:rPr>
          <w:rPr>
            <w:rFonts w:ascii="Cambria Math" w:hAnsi="Cambria Math"/>
          </w:rPr>
          <m:t>K</m:t>
        </m:r>
      </m:oMath>
      <w:r w:rsidR="001556C5" w:rsidRPr="007C03DE">
        <w:rPr>
          <w:rFonts w:eastAsiaTheme="minorEastAsia"/>
        </w:rPr>
        <w:t xml:space="preserve"> </w:t>
      </w:r>
      <w:r w:rsidR="001556C5" w:rsidRPr="007C03DE">
        <w:t>is the number of emotion labels</w:t>
      </w:r>
      <w:r w:rsidR="008932BB">
        <w:t>,</w:t>
      </w:r>
      <w:r w:rsidR="001556C5" w:rsidRPr="007C03DE">
        <w:br/>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i</m:t>
            </m:r>
          </m:sub>
        </m:sSub>
      </m:oMath>
      <w:r>
        <w:rPr>
          <w:rFonts w:eastAsiaTheme="minorEastAsia"/>
        </w:rPr>
        <w:t xml:space="preserve"> </w:t>
      </w:r>
      <w:r w:rsidR="001556C5" w:rsidRPr="007C03DE">
        <w:t xml:space="preserve">is the predicted probability for emotion </w:t>
      </w:r>
      <m:oMath>
        <m:r>
          <m:rPr>
            <m:sty m:val="p"/>
          </m:rPr>
          <w:rPr>
            <w:rFonts w:ascii="Cambria Math" w:hAnsi="Cambria Math"/>
          </w:rPr>
          <m:t>i</m:t>
        </m:r>
      </m:oMath>
      <w:r w:rsidR="001556C5" w:rsidRPr="007C03DE">
        <w:t xml:space="preserve">, </w:t>
      </w:r>
      <w:r w:rsidR="001556C5" w:rsidRPr="007C03DE">
        <w:br/>
        <w:t xml:space="preserve">and </w:t>
      </w:r>
      <m:oMath>
        <m:r>
          <m:rPr>
            <m:sty m:val="p"/>
          </m:rPr>
          <w:rPr>
            <w:rFonts w:ascii="Cambria Math" w:hAnsi="Cambria Math"/>
          </w:rPr>
          <m:t>σ</m:t>
        </m:r>
      </m:oMath>
      <w:r>
        <w:rPr>
          <w:rFonts w:eastAsiaTheme="minorEastAsia"/>
        </w:rPr>
        <w:t xml:space="preserve"> </w:t>
      </w:r>
      <w:r w:rsidR="001556C5" w:rsidRPr="007C03DE">
        <w:t>denotes the sigmoid function.</w:t>
      </w:r>
    </w:p>
    <w:p w14:paraId="775519E1" w14:textId="5D182B8C" w:rsidR="001556C5" w:rsidRPr="00117CCD" w:rsidRDefault="001556C5" w:rsidP="00117CCD">
      <w:pPr>
        <w:jc w:val="both"/>
      </w:pPr>
      <w:r w:rsidRPr="007C03DE">
        <w:lastRenderedPageBreak/>
        <w:t>For each input, the system stores per-label probability scores alongside thresholded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for consistency across models. For models producing a broader label set (e.g., RoBERTa), predictions are aggregated into core categories using a max-confidence strategy (</w:t>
      </w:r>
      <w:r w:rsidR="007B304B" w:rsidRPr="007B304B">
        <w:t>Tsoumakas, Katakis &amp; Vlahavas,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000000"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000000"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RoBERTa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5EFAC67A" w14:textId="6F96F55A" w:rsidR="001D5D96" w:rsidRPr="001D5D96" w:rsidRDefault="001D5D96" w:rsidP="001D5D96">
      <w:r w:rsidRPr="001D5D96">
        <w:t xml:space="preserve">PsychExtract complements emotion classification with interpretable keyword signals extracted from reflective text. The system emphasises traceable, surface-level concepts rather than latent topic modelling, </w:t>
      </w:r>
      <w:r w:rsidR="005F653A" w:rsidRPr="005F653A">
        <w:t xml:space="preserve">prioritising transparency and semantic legibility to support user-led inspection of reflective content </w:t>
      </w:r>
      <w:r w:rsidRPr="001D5D96">
        <w:t>(</w:t>
      </w:r>
      <w:r w:rsidR="002244E3" w:rsidRPr="002244E3">
        <w:t>Angelov &amp; Soares, 2021</w:t>
      </w:r>
      <w:r w:rsidR="002244E3">
        <w:t xml:space="preserve">; </w:t>
      </w:r>
      <w:r w:rsidR="00C81E83" w:rsidRPr="00C81E83">
        <w:t>Bojanowski et al., 2017</w:t>
      </w:r>
      <w:r w:rsidRPr="001D5D96">
        <w:t>).</w:t>
      </w:r>
    </w:p>
    <w:p w14:paraId="79C86F62" w14:textId="4D6EE7D8" w:rsidR="001D5D96" w:rsidRDefault="001D5D96" w:rsidP="001D5D96">
      <w:r w:rsidRPr="001D5D96">
        <w:t xml:space="preserve">Two unsupervised extraction methods are </w:t>
      </w:r>
      <w:r w:rsidR="00AD1427" w:rsidRPr="00AD1427">
        <w:t xml:space="preserve">used in parallel (Figure </w:t>
      </w:r>
      <w:r w:rsidR="00B73D1D">
        <w:t>20</w:t>
      </w:r>
      <w:r w:rsidR="00AD1427" w:rsidRPr="00AD1427">
        <w:t>), illustrating the shared input text and independent scoring paths</w:t>
      </w:r>
      <w:r w:rsidRPr="001D5D96">
        <w:t>: KeyBERT leverages sentence embeddings (</w:t>
      </w:r>
      <w:r w:rsidR="00DB30CB" w:rsidRPr="00DB30CB">
        <w:t>Reimers &amp; Gurevych, 2019</w:t>
      </w:r>
      <w:r w:rsidRPr="001D5D96">
        <w:t>) to rank unigrams and bigrams by cosine similarity to the document embedding (</w:t>
      </w:r>
      <w:r w:rsidR="00DD383A" w:rsidRPr="00DD383A">
        <w:t>Grootendorst, 2025</w:t>
      </w:r>
      <w:r w:rsidRPr="001D5D96">
        <w:t>). YAKE relies on statistical and positional features to score candidate keywords without external corpora (</w:t>
      </w:r>
      <w:r w:rsidR="00993E85" w:rsidRPr="00993E85">
        <w:t>Campos et al., 2020</w:t>
      </w:r>
      <w:r w:rsidRPr="001D5D96">
        <w:t>).</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Parallel keyword extraction pipeline using KeyBERT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682788DA" w:rsidR="00A541EF" w:rsidRPr="00A541EF" w:rsidRDefault="00A541EF" w:rsidP="00A541EF">
      <w:pPr>
        <w:jc w:val="both"/>
      </w:pPr>
      <w:r w:rsidRPr="00A541EF">
        <w:t>KeyBERT and YAKE outputs are processed to remove stopwords and truncated to the top-ranked candidates. To ensure linguistic validity, phrases are filtered via spaCy’s POS tagging and dependency parsing (</w:t>
      </w:r>
      <w:r w:rsidR="00001427" w:rsidRPr="00001427">
        <w:t>Honnibal et al., 2020</w:t>
      </w:r>
      <w:r w:rsidRPr="00A541EF">
        <w:t>). Allowed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728429EF" w14:textId="6AFD2709" w:rsidR="00226713" w:rsidRPr="00226713" w:rsidRDefault="00226713" w:rsidP="00226713">
      <w:pPr>
        <w:jc w:val="both"/>
      </w:pPr>
      <w:r w:rsidRPr="00226713">
        <w:t>PsychExtract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linguistic patterns. This conservative, non-clinical framing prioritises interpretability and traceability over generative flexibility (</w:t>
      </w:r>
      <w:r w:rsidR="00C81E83" w:rsidRPr="00C81E83">
        <w:t>Bojanowski et al., 2017</w:t>
      </w:r>
      <w:r w:rsidRPr="00226713">
        <w:t>).</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000000"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000000"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(x)</m:t>
                    </m:r>
                    <m:r>
                      <m:rPr>
                        <m:nor/>
                      </m:rPr>
                      <m:t xml:space="preserve"> is met</m:t>
                    </m:r>
                  </m:e>
                </m:mr>
                <m:mr>
                  <m:e>
                    <m:r>
                      <w:rPr>
                        <w:rFonts w:ascii="Cambria Math" w:hAnsi="Cambria Math"/>
                      </w:rPr>
                      <m:t>0</m:t>
                    </m:r>
                  </m:e>
                  <m:e>
                    <m:r>
                      <m:rPr>
                        <m:nor/>
                      </m:rPr>
                      <m:t>otherwise</m:t>
                    </m:r>
                  </m:e>
                </m:mr>
              </m:m>
            </m:e>
          </m:d>
        </m:oMath>
      </m:oMathPara>
    </w:p>
    <w:p w14:paraId="0F28713D" w14:textId="5C777960" w:rsidR="009A1557" w:rsidRPr="009A1557" w:rsidRDefault="009A1557" w:rsidP="009A1557">
      <w:pPr>
        <w:jc w:val="both"/>
      </w:pPr>
      <w:r w:rsidRPr="009A1557">
        <w:t>Detection conditions may involve thresholded functions over the emotion probability vector (e.g., mean negative affect for Emotional Load) or the presence of predefined lexical markers (UNCERTAINTY_PHRASES, COPING_VERBS, SOMATIC_TERMS, SELF_REFLECTIVE_PHRASES).</w:t>
      </w:r>
    </w:p>
    <w:p w14:paraId="180543DE" w14:textId="7A94CF54" w:rsidR="0033384C" w:rsidRPr="0033384C" w:rsidRDefault="0033384C" w:rsidP="0033384C">
      <w:pPr>
        <w:jc w:val="both"/>
      </w:pPr>
      <w:r w:rsidRPr="00EF7EA1">
        <w:rPr>
          <w:rStyle w:val="SubtleEmphasis"/>
          <w:noProof/>
        </w:rPr>
        <w:drawing>
          <wp:anchor distT="0" distB="0" distL="114300" distR="114300" simplePos="0" relativeHeight="251707392" behindDoc="0" locked="0" layoutInCell="1" allowOverlap="1" wp14:anchorId="7C3EB4B7" wp14:editId="1723614F">
            <wp:simplePos x="0" y="0"/>
            <wp:positionH relativeFrom="margin">
              <wp:posOffset>3130586</wp:posOffset>
            </wp:positionH>
            <wp:positionV relativeFrom="paragraph">
              <wp:posOffset>638439</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8">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Pr="00A27981">
        <w:rPr>
          <w:rStyle w:val="SubtleEmphasis"/>
          <w:noProof/>
        </w:rPr>
        <w:drawing>
          <wp:anchor distT="0" distB="0" distL="114300" distR="114300" simplePos="0" relativeHeight="251708416" behindDoc="0" locked="0" layoutInCell="1" allowOverlap="1" wp14:anchorId="621B1BC0" wp14:editId="0A8B420A">
            <wp:simplePos x="0" y="0"/>
            <wp:positionH relativeFrom="margin">
              <wp:posOffset>273553</wp:posOffset>
            </wp:positionH>
            <wp:positionV relativeFrom="paragraph">
              <wp:posOffset>962948</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9">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33384C">
        <w:t xml:space="preserve">The implementation of this detection logic, directly reflecting the criteria defined in Table </w:t>
      </w:r>
      <w:r w:rsidR="007C4DDA">
        <w:t>2</w:t>
      </w:r>
      <w:r w:rsidRPr="0033384C">
        <w:t xml:space="preserve">, is illustrated in Figure </w:t>
      </w:r>
      <w:r w:rsidR="001451E8">
        <w:t>22</w:t>
      </w:r>
      <w:r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r w:rsidRPr="00926C3E">
        <w:t>PsychExtract’s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52D41D6F" w14:textId="5EE6015D" w:rsidR="00210652" w:rsidRPr="00210652" w:rsidRDefault="00210652" w:rsidP="00BF125B">
      <w:pPr>
        <w:jc w:val="both"/>
      </w:pPr>
      <w:r w:rsidRPr="00210652">
        <w:t xml:space="preserve">To inform the design and evaluation of PsychExtract,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aligns with best practices in user-centred design, particularly for tools supporting emotional and reflective writing, </w:t>
      </w:r>
      <w:r w:rsidRPr="00210652">
        <w:lastRenderedPageBreak/>
        <w:t>where early feedback can guide feature prioritisation and interface design (</w:t>
      </w:r>
      <w:r w:rsidR="004E4656" w:rsidRPr="004E4656">
        <w:t>Gulliksen et al., 2003</w:t>
      </w:r>
      <w:r w:rsidR="000536D7">
        <w:t xml:space="preserve">; </w:t>
      </w:r>
      <w:r w:rsidR="00BB0853" w:rsidRPr="00BB0853">
        <w:t>Norman, 2013</w:t>
      </w:r>
      <w:r w:rsidRPr="00210652">
        <w:t>).</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PsychExtract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When asked which system features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PsychExtract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4FCB6AAA" w14:textId="39C43CB6" w:rsidR="00210652" w:rsidRPr="00463369" w:rsidRDefault="00210652" w:rsidP="00904397">
      <w:pPr>
        <w:jc w:val="both"/>
      </w:pPr>
      <w:r w:rsidRPr="00463369">
        <w:lastRenderedPageBreak/>
        <w:t>Overall, this preliminary user discovery demonstrates early support for PsychExtract’s intended functionality. It also provides valuable guidance for system development, including the prioritisation of interpretable insights, transparent output presentation, and cautious framing of predictive content to mitigate user concerns regarding accuracy and trust. Incorporating such early-stage feedback is consistent with iterative, user-centred approaches that improve both usability and adoption in reflective or therapeutic contexts (</w:t>
      </w:r>
      <w:r w:rsidR="000536D7" w:rsidRPr="000536D7">
        <w:t>Gulliksen et al., 2003</w:t>
      </w:r>
      <w:r w:rsidRPr="00463369">
        <w:t xml:space="preserve">; </w:t>
      </w:r>
      <w:r w:rsidR="00BB0853" w:rsidRPr="00BB0853">
        <w:t>Norman, 2013</w:t>
      </w:r>
      <w:r w:rsidRPr="00463369">
        <w:t>).</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OCR forms the foundational stage of PsychExtract;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BE7EB9">
      <w:r w:rsidRPr="00BE7EB9">
        <w:t>Five OCR approaches were assessed: Tesseract, EasyOCR, PaddleOCR, TrOCR,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r w:rsidRPr="00C1441B">
        <w:t>is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r w:rsidRPr="00C1441B">
              <w:t>EasyOCR</w:t>
            </w:r>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r w:rsidRPr="00C1441B">
              <w:t>PaddleOCR</w:t>
            </w:r>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r w:rsidRPr="00C1441B">
              <w:t>TrOCR</w:t>
            </w:r>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Transformer-based methods, particularly TrOCR and Qwen, substantially outperformed traditional OCR engines. Qwen achieved 92.8% CA and 1.1% WER, preserving sentence flow and word order, while TrOCR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D353D4">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TrOCR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L neticed a pattern @ my reactions ada. Le get Arkensive then 1 Feel wisendee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EasyOCR:</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1 Ared putecr "f 'ato} Xasc4: 1 p6r dzfensin #le^ 1 fccl miceadzerfud</w:t>
            </w:r>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PaddleOCR:</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1 natied  per i f eat tdf. I gt defenie n I fee isdeesed.</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TrOCR:</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arrived a pattern in my reactions today .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Vargruh how rease my body Falk thsmeraica . M elves woe tune, | bo } ov vole (ro) clad 4 enien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EasyOCR</w:t>
            </w:r>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~oked hxw rease ~4 bocly fel+ +hssrorar M shaldus nec richt 1 cnd" 1 8-x4Gled + sky bearwcCA</w:t>
            </w:r>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PaddleOCR</w:t>
            </w:r>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noticd how rerse my body fel thsoniy. My shauldes wee cihr, I cndlI or uygled(ro)oln branhirc</w:t>
            </w:r>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TrOCR</w:t>
            </w:r>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Beyond raw metrics, OCR evaluation emphasised contextual and emotional meaning preservation. Traditional OCR outputs frequently omit modifiers and connectors, while TrOCR occasionally misrepresents sentence intent. Qwen best preserves semantic structure and affective content, producing outputs suitable for human review and downstream NLP analysis, aligning with PsychExtract’s assistive, non-diagnostic ethos.</w:t>
      </w:r>
    </w:p>
    <w:p w14:paraId="5FE70BA4" w14:textId="480395D0" w:rsidR="00C1441B" w:rsidRPr="00C1441B" w:rsidRDefault="00C1441B" w:rsidP="00380391">
      <w:pPr>
        <w:jc w:val="both"/>
      </w:pPr>
      <w:r w:rsidRPr="00CA16C0">
        <w:t>Human oversight remains critical: the system deliberately avoids automated interpretation, reinforcing ethical boundaries between transcription and clinical decision-making (</w:t>
      </w:r>
      <w:r w:rsidR="00E55DC1" w:rsidRPr="00E55DC1">
        <w:t>Amershi et al., 2019</w:t>
      </w:r>
      <w:r w:rsidRPr="00CA16C0">
        <w:t>). Minor hallucinations and sensitivity to image quality underscore the prototype’s role as a facilitative layer rather than a standalone system.</w:t>
      </w:r>
    </w:p>
    <w:p w14:paraId="3DB66A52" w14:textId="310DC5FD" w:rsidR="00C1441B" w:rsidRPr="00C1441B" w:rsidRDefault="00C1441B" w:rsidP="00CA16C0">
      <w:pPr>
        <w:pStyle w:val="Heading3"/>
        <w:numPr>
          <w:ilvl w:val="0"/>
          <w:numId w:val="0"/>
        </w:numPr>
        <w:ind w:left="720" w:hanging="720"/>
      </w:pPr>
      <w:bookmarkStart w:id="95" w:name="_Toc221377171"/>
      <w:r w:rsidRPr="00C1441B">
        <w:t>Implications for PsychExtract</w:t>
      </w:r>
      <w:bookmarkEnd w:id="95"/>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162BE759" w:rsidR="00645F7D" w:rsidRPr="00645F7D" w:rsidRDefault="00645F7D" w:rsidP="00F8666B">
      <w:pPr>
        <w:jc w:val="both"/>
      </w:pPr>
      <w:r w:rsidRPr="00645F7D">
        <w:t>Emotion classification evaluates whether the system can identify salient affective content within reflective writing, supporting insight formation. Transformer-based models, DistilBERT and RoBERTa, were assessed under zero-shot inference conditions, reflecting realistic constraints for early-stage system integration and avoiding fine-tuning biases (</w:t>
      </w:r>
      <w:r w:rsidR="00AD0029" w:rsidRPr="00AD0029">
        <w:t>Demszky et al., 2020</w:t>
      </w:r>
      <w:r w:rsidRPr="00645F7D">
        <w:t xml:space="preserve">; </w:t>
      </w:r>
      <w:r w:rsidR="001E1545" w:rsidRPr="001E1545">
        <w:t>Devlin et al., 2019</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000000"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5913EB1C" w:rsidR="001F7EAA" w:rsidRPr="001F7EAA" w:rsidRDefault="00F75560" w:rsidP="00DE0746">
      <w:pPr>
        <w:jc w:val="both"/>
      </w:pPr>
      <w:r w:rsidRPr="001F7EAA">
        <w:t>Macro F1 prioritises balanced performance across frequent and rare emotions, crucial for reflective journals where ambiguous affective content is common (</w:t>
      </w:r>
      <w:r w:rsidR="00AD0029" w:rsidRPr="00AD0029">
        <w:t>Demszky et al., 2020</w:t>
      </w:r>
      <w:r w:rsidRPr="001F7EAA">
        <w:t>). The micro F1 measures overall predictive quality without weighting per class.</w:t>
      </w:r>
    </w:p>
    <w:p w14:paraId="203EA609" w14:textId="280DE252" w:rsidR="00645F7D" w:rsidRPr="00673EC6" w:rsidRDefault="00645F7D" w:rsidP="00DE0746">
      <w:pPr>
        <w:jc w:val="both"/>
      </w:pPr>
      <w:r w:rsidRPr="00673EC6">
        <w:t xml:space="preserve">On a GoEmotions subset, </w:t>
      </w:r>
      <w:r w:rsidR="003A51D3" w:rsidRPr="003A51D3">
        <w:t>RoBERTa consistently outperforms DistilBERT across all overall metrics</w:t>
      </w:r>
      <w:r w:rsidR="003A51D3">
        <w:t xml:space="preserve"> (Table </w:t>
      </w:r>
      <w:r w:rsidR="007C4DDA">
        <w:t>5</w:t>
      </w:r>
      <w:r w:rsidR="003A51D3">
        <w:t>)</w:t>
      </w:r>
      <w:r w:rsidR="003A51D3" w:rsidRPr="003A51D3">
        <w:t>. While DistilBERT exhibits lower precision, its recall remains moderate, indicating that it captures most emotions but with more false positives. RoBERTa balances precision and recall better, reflecting stronger selective recognition of contextually grounded emotions, though at higher computational cost.</w:t>
      </w:r>
      <w:r w:rsidR="003A51D3">
        <w:t xml:space="preserve"> </w:t>
      </w:r>
      <w:r w:rsidRPr="00673EC6">
        <w:t>CPU-based inference latency revealed that RoBERTa was roughly 1.9× slower than DistilBERT,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(ms/sample)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DistilBERT</w:t>
            </w:r>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RoBERTa</w:t>
            </w:r>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RoBERTa consistently achieves higher F1 scores than DistilBERT, indicating more balanced and reliable detection of both frequent and infrequent emotions. DistilBERT tends to overpredict certain emotions such as joy and anger, resulting in moderate F1 values, while lower-frequency emotions like surprise and love are detected less reliably. RoBERTa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r w:rsidRPr="00971445">
              <w:rPr>
                <w:b/>
                <w:bCs/>
              </w:rPr>
              <w:t>DistilBERT F1</w:t>
            </w:r>
          </w:p>
        </w:tc>
        <w:tc>
          <w:tcPr>
            <w:tcW w:w="0" w:type="auto"/>
            <w:hideMark/>
          </w:tcPr>
          <w:p w14:paraId="244B8CD1" w14:textId="77777777" w:rsidR="00971445" w:rsidRPr="00971445" w:rsidRDefault="00971445" w:rsidP="00971445">
            <w:pPr>
              <w:spacing w:after="160" w:line="259" w:lineRule="auto"/>
              <w:rPr>
                <w:b/>
                <w:bCs/>
              </w:rPr>
            </w:pPr>
            <w:r w:rsidRPr="00971445">
              <w:rPr>
                <w:b/>
                <w:bCs/>
              </w:rPr>
              <w:t>RoBERTa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3F74327B"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6821BB" w:rsidRPr="006821BB">
        <w:t>Doshi-Velez &amp; Kim, 2017</w:t>
      </w:r>
      <w:r w:rsidR="00A656A5">
        <w:t xml:space="preserve">; </w:t>
      </w:r>
      <w:r w:rsidR="00A656A5" w:rsidRPr="00A656A5">
        <w:t>Mohammad, 2018</w:t>
      </w:r>
      <w:r w:rsidRPr="00D124B7">
        <w:t>):</w:t>
      </w:r>
    </w:p>
    <w:p w14:paraId="54E508D6" w14:textId="0C492B82" w:rsidR="00645F7D" w:rsidRPr="00AE152A" w:rsidRDefault="00000000"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000000"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6D99DAFF"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With DistilBERT on the left and RoBERTa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indicates that DistilBERT produced consistently high values, with a mean of 0.898 and relatively low variance (standard deviation = 0.046). This pattern suggests that DistilBERT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RoBERTa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0.97). This variability reflects RoBERTa’s capacity for more contextually grounded and selective emotion detection, consistent with user-centered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To align evaluation with human interpretability, participants compared paired emotion summaries from DistilBERT and RoBERTa for identical journal entries. DistilBERT produced broader summaries with multiple emotions per entry, whereas RoBERTa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r w:rsidRPr="00905632">
              <w:rPr>
                <w:b/>
                <w:bCs/>
              </w:rPr>
              <w:t xml:space="preserve">DistilBERT Emotion Summary </w:t>
            </w:r>
          </w:p>
        </w:tc>
        <w:tc>
          <w:tcPr>
            <w:tcW w:w="0" w:type="auto"/>
            <w:hideMark/>
          </w:tcPr>
          <w:p w14:paraId="7A2DCE78" w14:textId="06304F79" w:rsidR="00905632" w:rsidRPr="00905632" w:rsidRDefault="00905632" w:rsidP="00905632">
            <w:pPr>
              <w:spacing w:after="160" w:line="259" w:lineRule="auto"/>
              <w:rPr>
                <w:b/>
                <w:bCs/>
              </w:rPr>
            </w:pPr>
            <w:r w:rsidRPr="00905632">
              <w:rPr>
                <w:b/>
                <w:bCs/>
              </w:rPr>
              <w:t>RoBERTa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Comparative emotion summary outputs from DistilBERT and RoBERTa for sample journal extract</w:t>
      </w:r>
      <w:r w:rsidR="00B91BA3">
        <w:rPr>
          <w:rStyle w:val="SubtleEmphasis"/>
        </w:rPr>
        <w:t>s</w:t>
      </w:r>
      <w:r w:rsidR="00645F7D" w:rsidRPr="00924DA5">
        <w:rPr>
          <w:rStyle w:val="SubtleEmphasis"/>
        </w:rPr>
        <w:t>.</w:t>
      </w:r>
    </w:p>
    <w:p w14:paraId="19252499" w14:textId="307E7C74" w:rsidR="00645F7D" w:rsidRPr="000E4335" w:rsidRDefault="00645F7D" w:rsidP="001F348B">
      <w:pPr>
        <w:jc w:val="both"/>
      </w:pPr>
      <w:r w:rsidRPr="000E4335">
        <w:t>User feedback consistently preferred RoBERTa for clarity and proportionality, while DistilBERT’s expansive summaries were sometimes overwhelming. Trust in outputs remained high when emotional labels were transparent and contextually grounded, even when misclassifications occurred, reflecting users’ awareness of the inherent imprecision of emotional language (</w:t>
      </w:r>
      <w:r w:rsidR="00E55DC1" w:rsidRPr="00E55DC1">
        <w:t>Amershi et al., 2019</w:t>
      </w:r>
      <w:r w:rsidRPr="000E4335">
        <w:t xml:space="preserve">; </w:t>
      </w:r>
      <w:r w:rsidR="00A656A5" w:rsidRPr="00A656A5">
        <w:t>Mohammad, 2018</w:t>
      </w:r>
      <w:r w:rsidRPr="000E4335">
        <w:t>).</w:t>
      </w:r>
    </w:p>
    <w:p w14:paraId="40F9B2E3" w14:textId="05503106" w:rsidR="00645F7D" w:rsidRPr="00645F7D" w:rsidRDefault="00645F7D" w:rsidP="00645F7D">
      <w:pPr>
        <w:pStyle w:val="Heading3"/>
        <w:numPr>
          <w:ilvl w:val="0"/>
          <w:numId w:val="0"/>
        </w:numPr>
      </w:pPr>
      <w:bookmarkStart w:id="100" w:name="_Toc221377176"/>
      <w:r w:rsidRPr="00645F7D">
        <w:t>Integration Implications for PsychExtract</w:t>
      </w:r>
      <w:bookmarkEnd w:id="100"/>
    </w:p>
    <w:p w14:paraId="465075DF" w14:textId="0F954BDC" w:rsidR="00645F7D" w:rsidRDefault="00645F7D" w:rsidP="0009624A">
      <w:pPr>
        <w:jc w:val="both"/>
      </w:pPr>
      <w:r w:rsidRPr="00673EC6">
        <w:t>Overall, evaluation indicates that RoBERTa’s selective, semantically grounded outputs are most appropriate for integration into PsychExtract, supporting structured reflection while preserving transparency. DistilBERT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 (</w:t>
      </w:r>
      <w:r w:rsidR="00AD0029" w:rsidRPr="00AD0029">
        <w:t>Demszky et al., 2020</w:t>
      </w:r>
      <w:r w:rsidRPr="00673EC6">
        <w:t xml:space="preserve">; </w:t>
      </w:r>
      <w:r w:rsidR="001E1545" w:rsidRPr="001E1545">
        <w:t>Devlin et al., 2019</w:t>
      </w:r>
      <w:r w:rsidRPr="00673EC6">
        <w:t xml:space="preserve">; </w:t>
      </w:r>
      <w:r w:rsidR="006821BB" w:rsidRPr="006821BB">
        <w:t>Doshi-Velez &amp; Kim, 2017</w:t>
      </w:r>
      <w:r w:rsidRPr="00673EC6">
        <w:t>).</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6CD4124B" w:rsidR="00173AAA" w:rsidRPr="00214C52" w:rsidRDefault="00173AAA" w:rsidP="00CE1A69">
      <w:pPr>
        <w:jc w:val="both"/>
      </w:pPr>
      <w:r w:rsidRPr="00173AAA">
        <w:t>Keyword extraction in PsychExtract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 (</w:t>
      </w:r>
      <w:r w:rsidR="002244E3" w:rsidRPr="002244E3">
        <w:t>Angelov &amp; Soares, 2021</w:t>
      </w:r>
      <w:r w:rsidRPr="00173AAA">
        <w:t xml:space="preserve">; </w:t>
      </w:r>
      <w:r w:rsidR="006821BB" w:rsidRPr="006821BB">
        <w:t>Doshi-Velez &amp; Kim, 2017</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Two complementary keyword extraction methods were employed: KeyBERT (embedding-based semantic similarity) and YAKE (statistical, positional weighting). KeyBERT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r w:rsidRPr="00A6213C">
        <w:t>KeyBERT applies a TF-IDF weighting scheme to identify high-value terms for extraction:</w:t>
      </w:r>
    </w:p>
    <w:p w14:paraId="11E10586" w14:textId="390BD367" w:rsidR="00214C52" w:rsidRPr="00214C52" w:rsidRDefault="00000000" w:rsidP="00214C52">
      <m:oMathPara>
        <m:oMath>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This approach allows KeyBERT to select semantically central words or phrases, often capturing abstract or affective concepts.</w:t>
      </w:r>
    </w:p>
    <w:p w14:paraId="63CD780D" w14:textId="4B76D05B" w:rsidR="00D03BC0" w:rsidRPr="00D03BC0" w:rsidRDefault="00D03BC0" w:rsidP="00D03BC0">
      <w:pPr>
        <w:jc w:val="both"/>
      </w:pPr>
      <w:r w:rsidRPr="00D03BC0">
        <w:t>Evaluation was user-centred rather than intrinsic, reflecting the subjective nature of reflective journaling (</w:t>
      </w:r>
      <w:r w:rsidR="002244E3" w:rsidRPr="002244E3">
        <w:t>Angelov &amp; Soares, 2021</w:t>
      </w:r>
      <w:r w:rsidRPr="00D03BC0">
        <w:t xml:space="preserve">). Participants compared paired keyword sets generated by KeyBERT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(KeyBERT)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KeyBERT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49CEA217" w:rsidR="00D03BC0" w:rsidRPr="00D03BC0" w:rsidRDefault="00D03BC0" w:rsidP="00D03BC0">
      <w:pPr>
        <w:jc w:val="both"/>
      </w:pPr>
      <w:r w:rsidRPr="00D03BC0">
        <w:t>KeyBERT, by contrast, tended to produce semantically dense, psychologically pointed keywords such as “emotionally drained” or “disconnected conversations.” While effective at capturing conceptually central or affective terms, it occasionally produced truncated or awkward outputs (e.g., “terrible wasn”), reflecting the embedding-based similarity mechanism’s prioritization of semantic centrality over surface coherence (</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KeyBERT was appreciated for highlighting psychologically salient cues, even when outputs were less fluid linguistically. Both methods faced challenges when processing ambiguous or diffuse emotional </w:t>
      </w:r>
      <w:r w:rsidRPr="00D03BC0">
        <w:lastRenderedPageBreak/>
        <w:t>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KeyBERT,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For interpretability in reflective writing, this indicates that YAKE may serve as the primary driver of keyword extraction within PsychExtract, with KeyBERT functioning as a complementary method to surface nuanced affective or conceptual insights. Presenting both keyword sets allows users to engage with reflective writing at multiple levels: YAKE establishes broad thematic context, while KeyBERT draws attention to subtle emotional or cognitive signals.</w:t>
      </w:r>
    </w:p>
    <w:p w14:paraId="29A03000" w14:textId="1F25A992" w:rsidR="003E3262" w:rsidRDefault="003E3262" w:rsidP="003E3262">
      <w:pPr>
        <w:jc w:val="both"/>
      </w:pPr>
      <w:r w:rsidRPr="003E3262">
        <w:t>Overall, this dual-method approach aligns with PsychExtract’s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25B2A5C6" w14:textId="7BC0EDB8" w:rsidR="008E20DB" w:rsidRPr="00AD635C" w:rsidRDefault="008E20DB" w:rsidP="00C42395">
      <w:pPr>
        <w:jc w:val="both"/>
      </w:pPr>
      <w:r w:rsidRPr="00AD635C">
        <w:t>The linguistic templating module in PsychExtract transforms extracted computational signals</w:t>
      </w:r>
      <w:r w:rsidR="00C42395">
        <w:t xml:space="preserve"> (</w:t>
      </w:r>
      <w:r w:rsidRPr="00AD635C">
        <w:t>such as emotional load, restlessness, coping strategies, and self-assessment cues</w:t>
      </w:r>
      <w:r w:rsidR="00C42395">
        <w:t xml:space="preserve">) </w:t>
      </w:r>
      <w:r w:rsidRPr="00AD635C">
        <w:t>into structured, interpretable textual insights. Unlike classification tasks, this component is not evaluated for predictive accuracy; its purpose is to provide reflective prompts that are human-readable, semantically coherent, and contextually grounded (</w:t>
      </w:r>
      <w:r w:rsidR="00E55DC1" w:rsidRPr="00E55DC1">
        <w:t>Amershi et al., 201</w:t>
      </w:r>
      <w:r w:rsidR="00E55DC1">
        <w:t xml:space="preserve">9; </w:t>
      </w:r>
      <w:r w:rsidR="006821BB" w:rsidRPr="006821BB">
        <w:t>Doshi-Velez &amp; Kim, 2017</w:t>
      </w:r>
      <w:r w:rsidRPr="00AD635C">
        <w:t>).</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605861C8" w14:textId="25920565" w:rsidR="006F17AB" w:rsidRPr="00796488" w:rsidRDefault="008E20DB" w:rsidP="00C42395">
      <w:pPr>
        <w:jc w:val="both"/>
      </w:pPr>
      <w:r w:rsidRPr="00796488">
        <w:t>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designed to resemble human reflective observations rather than clinical or diagnostic statements (</w:t>
      </w:r>
      <w:r w:rsidR="001A6CEE" w:rsidRPr="001A6CEE">
        <w:t>Baumer, 2015</w:t>
      </w:r>
      <w:r w:rsidRPr="00796488">
        <w:t xml:space="preserve">; </w:t>
      </w:r>
      <w:r w:rsidR="00E65AED" w:rsidRPr="00E65AED">
        <w:t>Calvo &amp; Peters, 2017</w:t>
      </w:r>
      <w:r w:rsidRPr="00796488">
        <w:t>).</w:t>
      </w:r>
    </w:p>
    <w:p w14:paraId="3BBF00BF" w14:textId="6D3F74AA" w:rsidR="008E20DB" w:rsidRPr="00796488" w:rsidRDefault="006F17AB" w:rsidP="006F17AB">
      <w:r w:rsidRPr="00796488">
        <w:br w:type="page"/>
      </w:r>
    </w:p>
    <w:p w14:paraId="39AC1F28" w14:textId="6CAF4D03" w:rsidR="008E20DB" w:rsidRDefault="008E20DB" w:rsidP="008E20DB">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0A72FB">
      <w:r w:rsidRPr="00AD635C">
        <w:t>Participants rated each template using 5-point Likert scales for:</w:t>
      </w:r>
    </w:p>
    <w:p w14:paraId="57239C01" w14:textId="745288A0" w:rsidR="008E20DB" w:rsidRPr="00AD635C" w:rsidRDefault="008E20DB" w:rsidP="000A72FB">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8E20DB">
      <w:r w:rsidRPr="00AD635C">
        <w:t>Optional qualitative feedback captured nuanced impressions of phrasing, tone, and perceived value.</w:t>
      </w:r>
    </w:p>
    <w:p w14:paraId="769B90CD" w14:textId="77777777" w:rsidR="008E20DB" w:rsidRPr="00AD635C" w:rsidRDefault="008E20DB" w:rsidP="008E20DB">
      <w:r w:rsidRPr="00AD635C">
        <w:t>Templates incorporate emotion weighting derived from the confidence spread of the emotion classification module:</w:t>
      </w:r>
    </w:p>
    <w:p w14:paraId="490EF724" w14:textId="32F53CBD" w:rsidR="008E20DB" w:rsidRPr="00AD635C" w:rsidRDefault="00000000"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000000"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1508"/>
        <w:tblW w:w="0" w:type="auto"/>
        <w:tblLook w:val="04A0" w:firstRow="1" w:lastRow="0" w:firstColumn="1" w:lastColumn="0" w:noHBand="0" w:noVBand="1"/>
      </w:tblPr>
      <w:tblGrid>
        <w:gridCol w:w="1767"/>
        <w:gridCol w:w="3331"/>
      </w:tblGrid>
      <w:tr w:rsidR="00FF08E4" w:rsidRPr="00AD635C" w14:paraId="73B6B28F" w14:textId="77777777" w:rsidTr="00FF08E4">
        <w:tc>
          <w:tcPr>
            <w:tcW w:w="0" w:type="auto"/>
            <w:hideMark/>
          </w:tcPr>
          <w:p w14:paraId="3464D732" w14:textId="77777777" w:rsidR="00FF08E4" w:rsidRPr="00AD635C" w:rsidRDefault="00FF08E4" w:rsidP="00FF08E4">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FF08E4">
            <w:pPr>
              <w:spacing w:after="160" w:line="259" w:lineRule="auto"/>
              <w:rPr>
                <w:b/>
                <w:bCs/>
              </w:rPr>
            </w:pPr>
            <w:r w:rsidRPr="00AD635C">
              <w:rPr>
                <w:b/>
                <w:bCs/>
              </w:rPr>
              <w:t>Wording Perception</w:t>
            </w:r>
          </w:p>
        </w:tc>
      </w:tr>
      <w:tr w:rsidR="00FF08E4" w:rsidRPr="00AD635C" w14:paraId="4C5E5089" w14:textId="77777777" w:rsidTr="00FF08E4">
        <w:tc>
          <w:tcPr>
            <w:tcW w:w="0" w:type="auto"/>
            <w:hideMark/>
          </w:tcPr>
          <w:p w14:paraId="42ED202B" w14:textId="77777777" w:rsidR="00FF08E4" w:rsidRPr="00AD635C" w:rsidRDefault="00FF08E4" w:rsidP="00FF08E4">
            <w:pPr>
              <w:spacing w:after="160" w:line="259" w:lineRule="auto"/>
            </w:pPr>
            <w:r w:rsidRPr="00AD635C">
              <w:t>Extract 1</w:t>
            </w:r>
          </w:p>
        </w:tc>
        <w:tc>
          <w:tcPr>
            <w:tcW w:w="0" w:type="auto"/>
            <w:hideMark/>
          </w:tcPr>
          <w:p w14:paraId="1DF7F427" w14:textId="77777777" w:rsidR="00FF08E4" w:rsidRPr="00AD635C" w:rsidRDefault="00FF08E4" w:rsidP="00FF08E4">
            <w:pPr>
              <w:spacing w:after="160" w:line="259" w:lineRule="auto"/>
            </w:pPr>
            <w:r w:rsidRPr="00AD635C">
              <w:t>Appropriate; occasionally Clinical</w:t>
            </w:r>
          </w:p>
        </w:tc>
      </w:tr>
      <w:tr w:rsidR="00FF08E4" w:rsidRPr="00AD635C" w14:paraId="12199AD7" w14:textId="77777777" w:rsidTr="00FF08E4">
        <w:tc>
          <w:tcPr>
            <w:tcW w:w="0" w:type="auto"/>
            <w:hideMark/>
          </w:tcPr>
          <w:p w14:paraId="594485D7" w14:textId="77777777" w:rsidR="00FF08E4" w:rsidRPr="00AD635C" w:rsidRDefault="00FF08E4" w:rsidP="00FF08E4">
            <w:pPr>
              <w:spacing w:after="160" w:line="259" w:lineRule="auto"/>
            </w:pPr>
            <w:r w:rsidRPr="00AD635C">
              <w:t>Extract 2</w:t>
            </w:r>
          </w:p>
        </w:tc>
        <w:tc>
          <w:tcPr>
            <w:tcW w:w="0" w:type="auto"/>
            <w:hideMark/>
          </w:tcPr>
          <w:p w14:paraId="34CF5C6D" w14:textId="77777777" w:rsidR="00FF08E4" w:rsidRPr="00AD635C" w:rsidRDefault="00FF08E4" w:rsidP="00FF08E4">
            <w:pPr>
              <w:spacing w:after="160" w:line="259" w:lineRule="auto"/>
            </w:pPr>
            <w:r w:rsidRPr="00AD635C">
              <w:t>Appropriate; Clinical</w:t>
            </w:r>
          </w:p>
        </w:tc>
      </w:tr>
    </w:tbl>
    <w:p w14:paraId="56EC209B" w14:textId="346E7268" w:rsidR="006B3C81" w:rsidRDefault="006B3C81" w:rsidP="006B3C81">
      <w:pPr>
        <w:jc w:val="both"/>
      </w:pPr>
      <w:r w:rsidRPr="00AD635C">
        <w:t>Qualitative feedback highlighted that templates were generally clear and contextually relevant, though occasional clinical tone or verbosity prompted interpretive friction</w:t>
      </w:r>
      <w:r w:rsidR="00FF08E4">
        <w:t xml:space="preserve"> (</w:t>
      </w:r>
      <w:r w:rsidR="00115910">
        <w:t xml:space="preserve">Table </w:t>
      </w:r>
      <w:r w:rsidR="0010223F">
        <w:t>10</w:t>
      </w:r>
      <w:r w:rsidR="00115910">
        <w:t>)</w:t>
      </w:r>
      <w:r w:rsidRPr="00AD635C">
        <w:t>. Importantly, this friction did not reduce reflective utility; in several cases, it encouraged participants to critically engage with their writing, prompting comparison, acceptance, or reinterpretation of the insights in light of their own experience (</w:t>
      </w:r>
      <w:r w:rsidR="00E55DC1" w:rsidRPr="00E55DC1">
        <w:t>Amershi et al., 2019</w:t>
      </w:r>
      <w:r w:rsidRPr="00AD635C">
        <w:t xml:space="preserve">; </w:t>
      </w:r>
      <w:r w:rsidR="00E65AED" w:rsidRPr="00E65AED">
        <w:t>Calvo &amp; Peters, 2017</w:t>
      </w:r>
      <w:r w:rsidRPr="00AD635C">
        <w:t>).</w:t>
      </w: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Implications for PsychExtract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provide interpretable insights without asserting authority, aligning with PsychExtract’s assistive, </w:t>
      </w:r>
      <w:r w:rsidRPr="00AD635C">
        <w:lastRenderedPageBreak/>
        <w:t>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r w:rsidR="001A6CEE" w:rsidRPr="001A6CEE">
        <w:t>Baumer,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r w:rsidRPr="00D036C6">
        <w:t>PsychExtract represents an interpretability-first system for structured reflection on emotionally expressive text. The project operationalized the orchestration of multiple pre-trained models across different data modalities to support insight formation in personal writing. PsychExtract integrates three primary model classes: optical character recognition (OCR) for document ingestion, emotion classification leveraging fine-grained sentiment models (GoEmotions), and keyword extraction with thematic and linguistic pattern analysis (KeyBERT, BERTopic,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Streamlit-based user interface design, supporting future user interaction with PsychExtract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Streamlit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PsychExtract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PsychExtract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PsychExtract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r w:rsidRPr="00F55A72">
        <w:t>PsychExtract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The interpretability-first approach is significant within mental health tools. By prioritizing transparency, traceability, and user agency, PsychExtract ensures that insights are understandable, actionable, and non-intrusive. The planned Streamlit interface further supports this by providing an accessible platform for interactive exploration of insights.</w:t>
      </w:r>
    </w:p>
    <w:p w14:paraId="3CB97362" w14:textId="287524DB" w:rsidR="00F55A72" w:rsidRPr="00FD0DC1" w:rsidRDefault="00F55A72" w:rsidP="00FD0DC1">
      <w:pPr>
        <w:jc w:val="both"/>
      </w:pPr>
      <w:r w:rsidRPr="00F55A72">
        <w:t>The project also highlights challenges and opportunities in orchestrating multiple pre-trained models. Integration across domains and modalities requires careful attention to data flow, output compatibility, and scalability. These lessons extend beyond PsychExtract, providing insights for researchers seeking to leverage pre-trained models in complex, human-centered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PsychExtract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personalisation, and expanded user studies remain future work, alongside development of the Streamlit UI to enable accessible interaction.</w:t>
      </w:r>
    </w:p>
    <w:p w14:paraId="5A8361AE" w14:textId="754D34D6" w:rsidR="00F55A72" w:rsidRPr="006B0317" w:rsidRDefault="00F55A72" w:rsidP="006B0317">
      <w:pPr>
        <w:jc w:val="both"/>
      </w:pPr>
      <w:r w:rsidRPr="00F55A72">
        <w:t>Ultimately, PsychExtract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user-centered evaluation in AI-driven reflective systems, offering a roadmap for future projects at the intersection of machine learning, mental health, and human-computer interaction. PsychExtract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751D4E">
      <w:r w:rsidRPr="00D11287">
        <w:rPr>
          <w:rFonts w:cs="Helvetica"/>
          <w:color w:val="000000"/>
          <w:szCs w:val="24"/>
        </w:rPr>
        <w:t xml:space="preserve">Angelov, P.P. &amp; Soares, E.A., 2021. Towards explainable deep neural networks (xDNN).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w:t>
        </w:r>
        <w:r w:rsidRPr="00D11287">
          <w:rPr>
            <w:rStyle w:val="Hyperlink"/>
            <w:rFonts w:cs="Helvetica"/>
            <w:szCs w:val="24"/>
          </w:rPr>
          <w:t>0</w:t>
        </w:r>
        <w:r w:rsidRPr="00D11287">
          <w:rPr>
            <w:rStyle w:val="Hyperlink"/>
            <w:rFonts w:cs="Helvetica"/>
            <w:szCs w:val="24"/>
          </w:rPr>
          <w:t>.1016/j</w:t>
        </w:r>
        <w:r w:rsidRPr="00D11287">
          <w:rPr>
            <w:rStyle w:val="Hyperlink"/>
            <w:rFonts w:cs="Helvetica"/>
            <w:szCs w:val="24"/>
          </w:rPr>
          <w:t>.</w:t>
        </w:r>
        <w:r w:rsidRPr="00D11287">
          <w:rPr>
            <w:rStyle w:val="Hyperlink"/>
            <w:rFonts w:cs="Helvetica"/>
            <w:szCs w:val="24"/>
          </w:rPr>
          <w:t>neunet.2020.07.010</w:t>
        </w:r>
      </w:hyperlink>
    </w:p>
    <w:p w14:paraId="287AC228" w14:textId="6CC7F275" w:rsidR="00751D4E" w:rsidRPr="00E55DC1" w:rsidRDefault="00751D4E" w:rsidP="00751D4E">
      <w:pPr>
        <w:rPr>
          <w:rFonts w:cs="Helvetica"/>
          <w:color w:val="000000"/>
          <w:szCs w:val="24"/>
        </w:rPr>
      </w:pPr>
      <w:r w:rsidRPr="00E55DC1">
        <w:rPr>
          <w:rFonts w:cs="Helvetica"/>
          <w:color w:val="000000"/>
          <w:szCs w:val="24"/>
        </w:rPr>
        <w:t xml:space="preserve">Amershi, S., Weld, D., Vorvoreanu, M., Fourney, A., Nushi, B., Collisson,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751D4E">
      <w:pPr>
        <w:rPr>
          <w:rFonts w:cs="Helvetica"/>
          <w:color w:val="000000"/>
          <w:szCs w:val="24"/>
        </w:rPr>
      </w:pPr>
      <w:r w:rsidRPr="00AC5720">
        <w:rPr>
          <w:rFonts w:cs="Helvetica"/>
          <w:color w:val="000000"/>
          <w:szCs w:val="24"/>
        </w:rPr>
        <w:t xml:space="preserve">Bai, J., et al., 2024. Qwen-VL: A Frontier Large Vision-Language Model. </w:t>
      </w:r>
      <w:r w:rsidRPr="00AC5720">
        <w:rPr>
          <w:rFonts w:cs="Helvetica"/>
          <w:i/>
          <w:iCs/>
          <w:color w:val="000000"/>
          <w:szCs w:val="24"/>
        </w:rPr>
        <w:t>arXiv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751D4E">
      <w:pPr>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w:t>
        </w:r>
        <w:r w:rsidRPr="001A6CEE">
          <w:rPr>
            <w:rStyle w:val="Hyperlink"/>
            <w:rFonts w:cs="Helvetica"/>
            <w:szCs w:val="24"/>
          </w:rPr>
          <w:t>.</w:t>
        </w:r>
        <w:r w:rsidRPr="001A6CEE">
          <w:rPr>
            <w:rStyle w:val="Hyperlink"/>
            <w:rFonts w:cs="Helvetica"/>
            <w:szCs w:val="24"/>
          </w:rPr>
          <w:t>org/10.1145/2702123.2702234</w:t>
        </w:r>
      </w:hyperlink>
    </w:p>
    <w:p w14:paraId="27CA41A2" w14:textId="23274203" w:rsidR="00751D4E" w:rsidRPr="00C056AC" w:rsidRDefault="00751D4E" w:rsidP="00751D4E">
      <w:pPr>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DistilBERT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w:t>
        </w:r>
        <w:r w:rsidRPr="00C056AC">
          <w:rPr>
            <w:rStyle w:val="Hyperlink"/>
            <w:rFonts w:cs="Helvetica"/>
            <w:szCs w:val="24"/>
          </w:rPr>
          <w:t>s</w:t>
        </w:r>
        <w:r w:rsidRPr="00C056AC">
          <w:rPr>
            <w:rStyle w:val="Hyperlink"/>
            <w:rFonts w:cs="Helvetica"/>
            <w:szCs w:val="24"/>
          </w:rPr>
          <w:t>avani/distilbert-b</w:t>
        </w:r>
        <w:r w:rsidRPr="00C056AC">
          <w:rPr>
            <w:rStyle w:val="Hyperlink"/>
            <w:rFonts w:cs="Helvetica"/>
            <w:szCs w:val="24"/>
          </w:rPr>
          <w:t>a</w:t>
        </w:r>
        <w:r w:rsidRPr="00C056AC">
          <w:rPr>
            <w:rStyle w:val="Hyperlink"/>
            <w:rFonts w:cs="Helvetica"/>
            <w:szCs w:val="24"/>
          </w:rPr>
          <w:t>se-uncased-emotion</w:t>
        </w:r>
      </w:hyperlink>
    </w:p>
    <w:p w14:paraId="1544A5DE" w14:textId="5D3ECA03" w:rsidR="00751D4E" w:rsidRPr="001E47E3" w:rsidRDefault="00751D4E" w:rsidP="00751D4E">
      <w:pPr>
        <w:rPr>
          <w:rFonts w:cs="Helvetica"/>
          <w:color w:val="000000"/>
          <w:szCs w:val="24"/>
        </w:rPr>
      </w:pPr>
      <w:r w:rsidRPr="001E47E3">
        <w:rPr>
          <w:rFonts w:cs="Helvetica"/>
          <w:color w:val="000000"/>
          <w:szCs w:val="24"/>
        </w:rPr>
        <w:t xml:space="preserve">Bojanowski, P., et al., 2017. Enriching Word Vectors with Subword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w:t>
        </w:r>
        <w:r w:rsidRPr="001E47E3">
          <w:rPr>
            <w:rStyle w:val="Hyperlink"/>
            <w:rFonts w:cs="Helvetica"/>
            <w:szCs w:val="24"/>
          </w:rPr>
          <w:t>0</w:t>
        </w:r>
        <w:r w:rsidRPr="001E47E3">
          <w:rPr>
            <w:rStyle w:val="Hyperlink"/>
            <w:rFonts w:cs="Helvetica"/>
            <w:szCs w:val="24"/>
          </w:rPr>
          <w:t>51</w:t>
        </w:r>
      </w:hyperlink>
    </w:p>
    <w:p w14:paraId="059BEA1A" w14:textId="34563D1C" w:rsidR="00751D4E" w:rsidRPr="00A84181" w:rsidRDefault="00751D4E" w:rsidP="00751D4E">
      <w:pPr>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w:t>
        </w:r>
        <w:r w:rsidRPr="00A84181">
          <w:rPr>
            <w:rStyle w:val="Hyperlink"/>
            <w:rFonts w:cs="Helvetica"/>
            <w:szCs w:val="24"/>
          </w:rPr>
          <w:t>/</w:t>
        </w:r>
        <w:r w:rsidRPr="00A84181">
          <w:rPr>
            <w:rStyle w:val="Hyperlink"/>
            <w:rFonts w:cs="Helvetica"/>
            <w:szCs w:val="24"/>
          </w:rPr>
          <w:t>10.1007/s10488-012-0424-x</w:t>
        </w:r>
      </w:hyperlink>
    </w:p>
    <w:p w14:paraId="4970A09E" w14:textId="3D750962" w:rsidR="00751D4E" w:rsidRPr="00993E85" w:rsidRDefault="00751D4E" w:rsidP="00751D4E">
      <w:pPr>
        <w:rPr>
          <w:rFonts w:cs="Helvetica"/>
          <w:color w:val="000000"/>
          <w:szCs w:val="24"/>
        </w:rPr>
      </w:pPr>
      <w:r w:rsidRPr="00993E85">
        <w:rPr>
          <w:rFonts w:cs="Helvetica"/>
          <w:color w:val="000000"/>
          <w:szCs w:val="24"/>
        </w:rPr>
        <w:t xml:space="preserve">CardiffNLP, 2023. Twitter RoBERTa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w:t>
        </w:r>
        <w:r w:rsidRPr="00993E85">
          <w:rPr>
            <w:rStyle w:val="Hyperlink"/>
            <w:rFonts w:cs="Helvetica"/>
            <w:szCs w:val="24"/>
          </w:rPr>
          <w:t>t</w:t>
        </w:r>
        <w:r w:rsidRPr="00993E85">
          <w:rPr>
            <w:rStyle w:val="Hyperlink"/>
            <w:rFonts w:cs="Helvetica"/>
            <w:szCs w:val="24"/>
          </w:rPr>
          <w:t>a-base-emotion-multilabel-latest</w:t>
        </w:r>
      </w:hyperlink>
    </w:p>
    <w:p w14:paraId="00CE9795" w14:textId="69FD96B8" w:rsidR="00751D4E" w:rsidRPr="00E65AED" w:rsidRDefault="00751D4E" w:rsidP="00751D4E">
      <w:pPr>
        <w:rPr>
          <w:rFonts w:cs="Helvetica"/>
          <w:color w:val="000000"/>
          <w:szCs w:val="24"/>
        </w:rPr>
      </w:pPr>
      <w:r w:rsidRPr="00E65AED">
        <w:rPr>
          <w:rFonts w:cs="Helvetica"/>
          <w:color w:val="000000"/>
          <w:szCs w:val="24"/>
        </w:rPr>
        <w:t xml:space="preserve">Campos, R., Joulin,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w:t>
        </w:r>
        <w:r w:rsidRPr="00E65AED">
          <w:rPr>
            <w:rStyle w:val="Hyperlink"/>
            <w:rFonts w:cs="Helvetica"/>
            <w:szCs w:val="24"/>
          </w:rPr>
          <w:t>r</w:t>
        </w:r>
        <w:r w:rsidRPr="00E65AED">
          <w:rPr>
            <w:rStyle w:val="Hyperlink"/>
            <w:rFonts w:cs="Helvetica"/>
            <w:szCs w:val="24"/>
          </w:rPr>
          <w:t>g/10.1016/j.ins.2019.09.013</w:t>
        </w:r>
      </w:hyperlink>
    </w:p>
    <w:p w14:paraId="1099DBDD" w14:textId="58658BCE" w:rsidR="00751D4E" w:rsidRPr="00751D4E" w:rsidRDefault="00751D4E" w:rsidP="00751D4E">
      <w:pPr>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w:t>
        </w:r>
        <w:r w:rsidRPr="00751D4E">
          <w:rPr>
            <w:rStyle w:val="Hyperlink"/>
            <w:rFonts w:cs="Helvetica"/>
            <w:szCs w:val="24"/>
          </w:rPr>
          <w:t>/</w:t>
        </w:r>
        <w:r w:rsidRPr="00751D4E">
          <w:rPr>
            <w:rStyle w:val="Hyperlink"/>
            <w:rFonts w:cs="Helvetica"/>
            <w:szCs w:val="24"/>
          </w:rPr>
          <w:t>mitpress/9764.001.0001</w:t>
        </w:r>
      </w:hyperlink>
    </w:p>
    <w:p w14:paraId="03D028BF" w14:textId="6B4EFBAC" w:rsidR="00763B53" w:rsidRPr="00152943" w:rsidRDefault="00763B53" w:rsidP="00751D4E">
      <w:pPr>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751D4E">
      <w:pPr>
        <w:rPr>
          <w:rFonts w:cs="Helvetica"/>
          <w:color w:val="000000"/>
          <w:szCs w:val="24"/>
        </w:rPr>
      </w:pPr>
      <w:r w:rsidRPr="0003213D">
        <w:rPr>
          <w:rFonts w:cs="Helvetica"/>
          <w:color w:val="000000"/>
          <w:szCs w:val="24"/>
        </w:rPr>
        <w:t xml:space="preserve">Cui, C., et al., 2025. PaddleOCR-VL: Boosting Multilingual Document Parsing via a 0.9B Ultra-Compact Vision-Language Model. </w:t>
      </w:r>
      <w:r w:rsidRPr="0003213D">
        <w:rPr>
          <w:rFonts w:cs="Helvetica"/>
          <w:i/>
          <w:iCs/>
          <w:color w:val="000000"/>
          <w:szCs w:val="24"/>
        </w:rPr>
        <w:t>arXiv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w:t>
        </w:r>
        <w:r w:rsidRPr="0003213D">
          <w:rPr>
            <w:rStyle w:val="Hyperlink"/>
            <w:rFonts w:cs="Helvetica"/>
            <w:szCs w:val="24"/>
          </w:rPr>
          <w:t>0</w:t>
        </w:r>
        <w:r w:rsidRPr="0003213D">
          <w:rPr>
            <w:rStyle w:val="Hyperlink"/>
            <w:rFonts w:cs="Helvetica"/>
            <w:szCs w:val="24"/>
          </w:rPr>
          <w:t>.14528</w:t>
        </w:r>
      </w:hyperlink>
    </w:p>
    <w:p w14:paraId="0BB3C30F" w14:textId="564740B0" w:rsidR="00751D4E" w:rsidRPr="00C03462" w:rsidRDefault="00751D4E" w:rsidP="00751D4E">
      <w:pPr>
        <w:rPr>
          <w:rFonts w:cs="Helvetica"/>
          <w:color w:val="000000"/>
          <w:szCs w:val="24"/>
        </w:rPr>
      </w:pPr>
      <w:r w:rsidRPr="00C03462">
        <w:rPr>
          <w:rFonts w:cs="Helvetica"/>
          <w:color w:val="000000"/>
          <w:szCs w:val="24"/>
        </w:rPr>
        <w:t xml:space="preserve">DeVault, D., et al., 2014. SimSensei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w:t>
        </w:r>
        <w:r w:rsidRPr="00C03462">
          <w:rPr>
            <w:rStyle w:val="Hyperlink"/>
            <w:rFonts w:cs="Helvetica"/>
            <w:szCs w:val="24"/>
          </w:rPr>
          <w:t>5</w:t>
        </w:r>
        <w:r w:rsidRPr="00C03462">
          <w:rPr>
            <w:rStyle w:val="Hyperlink"/>
            <w:rFonts w:cs="Helvetica"/>
            <w:szCs w:val="24"/>
          </w:rPr>
          <w:t>731.2617415</w:t>
        </w:r>
      </w:hyperlink>
    </w:p>
    <w:p w14:paraId="0A4EC2E3" w14:textId="669DF019" w:rsidR="00751D4E" w:rsidRPr="00C03462" w:rsidRDefault="00751D4E" w:rsidP="00751D4E">
      <w:pPr>
        <w:rPr>
          <w:rFonts w:cs="Helvetica"/>
          <w:color w:val="000000"/>
          <w:szCs w:val="24"/>
        </w:rPr>
      </w:pPr>
      <w:r w:rsidRPr="00C03462">
        <w:rPr>
          <w:rFonts w:cs="Helvetica"/>
          <w:color w:val="000000"/>
          <w:szCs w:val="24"/>
        </w:rPr>
        <w:t xml:space="preserve">Demszky, D., et al., 2020. GoEmotions: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w:t>
        </w:r>
        <w:r w:rsidR="00AC78ED" w:rsidRPr="00A16438">
          <w:rPr>
            <w:rStyle w:val="Hyperlink"/>
          </w:rPr>
          <w:t>.</w:t>
        </w:r>
        <w:r w:rsidR="00AC78ED" w:rsidRPr="00A16438">
          <w:rPr>
            <w:rStyle w:val="Hyperlink"/>
          </w:rPr>
          <w:t>acl-main.372/</w:t>
        </w:r>
      </w:hyperlink>
    </w:p>
    <w:p w14:paraId="0A9726EE" w14:textId="23381490" w:rsidR="00751D4E" w:rsidRPr="00616669" w:rsidRDefault="00751D4E" w:rsidP="00751D4E">
      <w:pPr>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w:t>
        </w:r>
        <w:r w:rsidRPr="00616669">
          <w:rPr>
            <w:rStyle w:val="Hyperlink"/>
            <w:rFonts w:cs="Helvetica"/>
            <w:szCs w:val="24"/>
          </w:rPr>
          <w:t>3</w:t>
        </w:r>
        <w:r w:rsidRPr="00616669">
          <w:rPr>
            <w:rStyle w:val="Hyperlink"/>
            <w:rFonts w:cs="Helvetica"/>
            <w:szCs w:val="24"/>
          </w:rPr>
          <w:t>/v1/N19-1423</w:t>
        </w:r>
      </w:hyperlink>
    </w:p>
    <w:p w14:paraId="63BD2F3B" w14:textId="0A8C6CAD" w:rsidR="00751D4E" w:rsidRPr="004945D9" w:rsidRDefault="00751D4E" w:rsidP="00751D4E">
      <w:pPr>
        <w:rPr>
          <w:rFonts w:cs="Helvetica"/>
          <w:color w:val="000000"/>
          <w:szCs w:val="24"/>
        </w:rPr>
      </w:pPr>
      <w:r w:rsidRPr="004945D9">
        <w:rPr>
          <w:rFonts w:cs="Helvetica"/>
          <w:color w:val="000000"/>
          <w:szCs w:val="24"/>
        </w:rPr>
        <w:t xml:space="preserve">Doshi-Velez, F. &amp; Kim, B., 2017. Towards a Rigorous Science of Interpretable Machine Learning. </w:t>
      </w:r>
      <w:r w:rsidRPr="004945D9">
        <w:rPr>
          <w:rFonts w:cs="Helvetica"/>
          <w:i/>
          <w:iCs/>
          <w:color w:val="000000"/>
          <w:szCs w:val="24"/>
        </w:rPr>
        <w:t>arXiv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751D4E">
      <w:pPr>
        <w:rPr>
          <w:rFonts w:cs="Helvetica"/>
          <w:color w:val="000000"/>
          <w:szCs w:val="24"/>
        </w:rPr>
      </w:pPr>
      <w:r w:rsidRPr="00866346">
        <w:rPr>
          <w:rFonts w:cs="Helvetica"/>
          <w:color w:val="000000"/>
          <w:szCs w:val="24"/>
        </w:rPr>
        <w:t xml:space="preserve">Grootendorst, M., 2022. BERTopic: Neural Topic Modelling with Transformers and class-based TF-IDF. </w:t>
      </w:r>
      <w:r w:rsidR="006333C1" w:rsidRPr="004945D9">
        <w:rPr>
          <w:rFonts w:cs="Helvetica"/>
          <w:i/>
          <w:iCs/>
          <w:color w:val="000000"/>
          <w:szCs w:val="24"/>
        </w:rPr>
        <w:t>arXiv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751D4E">
      <w:pPr>
        <w:rPr>
          <w:rFonts w:cs="Helvetica"/>
          <w:color w:val="000000"/>
          <w:szCs w:val="24"/>
        </w:rPr>
      </w:pPr>
      <w:r w:rsidRPr="007A46F6">
        <w:rPr>
          <w:rFonts w:cs="Helvetica"/>
          <w:color w:val="000000"/>
          <w:szCs w:val="24"/>
        </w:rPr>
        <w:t xml:space="preserve">Grootendorst, M., 2025. KeyBERT.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w:t>
        </w:r>
        <w:r w:rsidRPr="007A46F6">
          <w:rPr>
            <w:rStyle w:val="Hyperlink"/>
            <w:rFonts w:cs="Helvetica"/>
            <w:szCs w:val="24"/>
          </w:rPr>
          <w:t>G</w:t>
        </w:r>
        <w:r w:rsidRPr="007A46F6">
          <w:rPr>
            <w:rStyle w:val="Hyperlink"/>
            <w:rFonts w:cs="Helvetica"/>
            <w:szCs w:val="24"/>
          </w:rPr>
          <w:t>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751D4E">
      <w:pPr>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w:t>
        </w:r>
        <w:r w:rsidRPr="00751D4E">
          <w:rPr>
            <w:rStyle w:val="Hyperlink"/>
            <w:rFonts w:cs="Helvetica"/>
            <w:szCs w:val="24"/>
          </w:rPr>
          <w:t>g</w:t>
        </w:r>
        <w:r w:rsidRPr="00751D4E">
          <w:rPr>
            <w:rStyle w:val="Hyperlink"/>
            <w:rFonts w:cs="Helvetica"/>
            <w:szCs w:val="24"/>
          </w:rPr>
          <w:t>/10.1002/jclp.20252</w:t>
        </w:r>
      </w:hyperlink>
    </w:p>
    <w:p w14:paraId="441AA1BE" w14:textId="354DA0A8" w:rsidR="00751D4E" w:rsidRPr="004E4656" w:rsidRDefault="00751D4E" w:rsidP="00751D4E">
      <w:pPr>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w:t>
        </w:r>
        <w:r w:rsidRPr="004E4656">
          <w:rPr>
            <w:rStyle w:val="Hyperlink"/>
            <w:rFonts w:cs="Helvetica"/>
            <w:szCs w:val="24"/>
          </w:rPr>
          <w:t>o</w:t>
        </w:r>
        <w:r w:rsidRPr="004E4656">
          <w:rPr>
            <w:rStyle w:val="Hyperlink"/>
            <w:rFonts w:cs="Helvetica"/>
            <w:szCs w:val="24"/>
          </w:rPr>
          <w:t>k.org</w:t>
        </w:r>
      </w:hyperlink>
    </w:p>
    <w:p w14:paraId="4CBBCBF7" w14:textId="2940DA9A" w:rsidR="00751D4E" w:rsidRDefault="00751D4E" w:rsidP="00751D4E">
      <w:r w:rsidRPr="00001427">
        <w:rPr>
          <w:rFonts w:cs="Helvetica"/>
          <w:color w:val="000000"/>
          <w:szCs w:val="24"/>
        </w:rPr>
        <w:t xml:space="preserve">Gulliksen, J., Göransson, B., Boivie, I., Blomkvist, S., Persson, J. &amp; Cajander, Å.,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w:t>
        </w:r>
        <w:r w:rsidRPr="00001427">
          <w:rPr>
            <w:rStyle w:val="Hyperlink"/>
            <w:rFonts w:cs="Helvetica"/>
            <w:szCs w:val="24"/>
          </w:rPr>
          <w:t>i</w:t>
        </w:r>
        <w:r w:rsidRPr="00001427">
          <w:rPr>
            <w:rStyle w:val="Hyperlink"/>
            <w:rFonts w:cs="Helvetica"/>
            <w:szCs w:val="24"/>
          </w:rPr>
          <w:t>.org/10.1080/01449290310001624329</w:t>
        </w:r>
      </w:hyperlink>
    </w:p>
    <w:p w14:paraId="30169C5E" w14:textId="34E1CF1C" w:rsidR="004A3301" w:rsidRPr="004A3301" w:rsidRDefault="004A3301" w:rsidP="00751D4E">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w:t>
        </w:r>
        <w:r w:rsidRPr="00152943">
          <w:rPr>
            <w:rStyle w:val="Hyperlink"/>
            <w:rFonts w:cs="Helvetica"/>
            <w:szCs w:val="24"/>
          </w:rPr>
          <w:t>o</w:t>
        </w:r>
        <w:r w:rsidRPr="00152943">
          <w:rPr>
            <w:rStyle w:val="Hyperlink"/>
            <w:rFonts w:cs="Helvetica"/>
            <w:szCs w:val="24"/>
          </w:rPr>
          <w:t>rg/10.1037/11532-021</w:t>
        </w:r>
      </w:hyperlink>
    </w:p>
    <w:p w14:paraId="5B8CA9AE" w14:textId="398CE876" w:rsidR="00751D4E" w:rsidRPr="00F8792B" w:rsidRDefault="00751D4E" w:rsidP="00751D4E">
      <w:pPr>
        <w:rPr>
          <w:rFonts w:cs="Helvetica"/>
          <w:color w:val="000000"/>
          <w:szCs w:val="24"/>
        </w:rPr>
      </w:pPr>
      <w:r w:rsidRPr="00F8792B">
        <w:rPr>
          <w:rFonts w:cs="Helvetica"/>
          <w:color w:val="000000"/>
          <w:szCs w:val="24"/>
        </w:rPr>
        <w:t xml:space="preserve">Honnibal, M., Montani, I., Van Landeghem, S. &amp; Boyd, A., 2020. spaCy: Industrial-strength Natural Language Processing in Python. </w:t>
      </w:r>
      <w:r w:rsidRPr="00F8792B">
        <w:rPr>
          <w:rFonts w:cs="Helvetica"/>
          <w:i/>
          <w:iCs/>
          <w:color w:val="000000"/>
          <w:szCs w:val="24"/>
        </w:rPr>
        <w:t>Zenodo</w:t>
      </w:r>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w:t>
        </w:r>
        <w:r w:rsidRPr="00F8792B">
          <w:rPr>
            <w:rStyle w:val="Hyperlink"/>
            <w:rFonts w:cs="Helvetica"/>
            <w:szCs w:val="24"/>
          </w:rPr>
          <w:t>5</w:t>
        </w:r>
        <w:r w:rsidRPr="00F8792B">
          <w:rPr>
            <w:rStyle w:val="Hyperlink"/>
            <w:rFonts w:cs="Helvetica"/>
            <w:szCs w:val="24"/>
          </w:rPr>
          <w:t>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751D4E">
      <w:pPr>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w:t>
        </w:r>
        <w:r w:rsidRPr="00DA5451">
          <w:rPr>
            <w:rStyle w:val="Hyperlink"/>
            <w:rFonts w:cs="Helvetica"/>
            <w:szCs w:val="24"/>
          </w:rPr>
          <w:t>.</w:t>
        </w:r>
        <w:r w:rsidRPr="00DA5451">
          <w:rPr>
            <w:rStyle w:val="Hyperlink"/>
            <w:rFonts w:cs="Helvetica"/>
            <w:szCs w:val="24"/>
          </w:rPr>
          <w:t>org/10.2196/19246</w:t>
        </w:r>
      </w:hyperlink>
    </w:p>
    <w:p w14:paraId="5D9B3855" w14:textId="10BA9848" w:rsidR="00751D4E" w:rsidRDefault="00751D4E" w:rsidP="00483ADD">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w:t>
        </w:r>
        <w:r w:rsidRPr="00840D18">
          <w:rPr>
            <w:rStyle w:val="Hyperlink"/>
            <w:rFonts w:cs="Helvetica"/>
            <w:szCs w:val="24"/>
          </w:rPr>
          <w:t>/</w:t>
        </w:r>
        <w:r w:rsidRPr="00840D18">
          <w:rPr>
            <w:rStyle w:val="Hyperlink"/>
            <w:rFonts w:cs="Helvetica"/>
            <w:szCs w:val="24"/>
          </w:rPr>
          <w:t>doi.org/10.1145/3411764.3445385</w:t>
        </w:r>
      </w:hyperlink>
    </w:p>
    <w:p w14:paraId="0B9C8FF7" w14:textId="37D53A40" w:rsidR="00457955" w:rsidRPr="00840D18" w:rsidRDefault="00457955" w:rsidP="00483ADD">
      <w:pPr>
        <w:rPr>
          <w:rFonts w:cs="Helvetica"/>
          <w:color w:val="000000"/>
          <w:szCs w:val="24"/>
        </w:rPr>
      </w:pPr>
      <w:r w:rsidRPr="00457955">
        <w:rPr>
          <w:rFonts w:cs="Helvetica"/>
          <w:color w:val="000000"/>
          <w:szCs w:val="24"/>
        </w:rPr>
        <w:t xml:space="preserve">JaidedAI, 2024. EasyOCR: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751D4E">
      <w:r w:rsidRPr="00802418">
        <w:rPr>
          <w:rFonts w:cs="Helvetica"/>
          <w:color w:val="000000"/>
          <w:szCs w:val="24"/>
        </w:rPr>
        <w:t xml:space="preserve">Koleck,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w:t>
        </w:r>
        <w:r w:rsidRPr="00802418">
          <w:rPr>
            <w:rStyle w:val="Hyperlink"/>
            <w:rFonts w:cs="Helvetica"/>
            <w:szCs w:val="24"/>
          </w:rPr>
          <w:t>1</w:t>
        </w:r>
        <w:r w:rsidRPr="00802418">
          <w:rPr>
            <w:rStyle w:val="Hyperlink"/>
            <w:rFonts w:cs="Helvetica"/>
            <w:szCs w:val="24"/>
          </w:rPr>
          <w:t>0.1093/jamia/ocy173</w:t>
        </w:r>
      </w:hyperlink>
    </w:p>
    <w:p w14:paraId="0E339A79" w14:textId="6085CC94" w:rsidR="000E4BD5" w:rsidRDefault="000E4BD5" w:rsidP="00751D4E">
      <w:r w:rsidRPr="000E4BD5">
        <w:t xml:space="preserve">Li, M., et al., 2021. TrOCR: Transformer-based optical character recognition with pre-trained models. </w:t>
      </w:r>
      <w:r w:rsidRPr="000E4BD5">
        <w:rPr>
          <w:i/>
          <w:iCs/>
        </w:rPr>
        <w:t>arXiv preprint</w:t>
      </w:r>
      <w:r w:rsidRPr="000E4BD5">
        <w:t xml:space="preserve">. [Preprint] </w:t>
      </w:r>
      <w:hyperlink r:id="rId82" w:tgtFrame="_new" w:history="1">
        <w:r w:rsidRPr="000E4BD5">
          <w:rPr>
            <w:rStyle w:val="Hyperlink"/>
          </w:rPr>
          <w:t>https://doi.org/10.48550/arXiv.2109.10282</w:t>
        </w:r>
      </w:hyperlink>
    </w:p>
    <w:p w14:paraId="147E23FF" w14:textId="06F31741" w:rsidR="00604B91" w:rsidRPr="00802418" w:rsidRDefault="00604B91" w:rsidP="00751D4E">
      <w:pPr>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RoBERTa: A robustly optimised BERT pretraining approach. </w:t>
      </w:r>
      <w:r w:rsidRPr="00604B91">
        <w:rPr>
          <w:rFonts w:cs="Helvetica"/>
          <w:i/>
          <w:iCs/>
          <w:color w:val="000000"/>
          <w:szCs w:val="24"/>
        </w:rPr>
        <w:t>arXiv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751D4E">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w:t>
        </w:r>
        <w:r w:rsidR="00554032" w:rsidRPr="00554032">
          <w:rPr>
            <w:rStyle w:val="Hyperlink"/>
          </w:rPr>
          <w:t>10.1</w:t>
        </w:r>
        <w:r w:rsidR="00554032" w:rsidRPr="00554032">
          <w:rPr>
            <w:rStyle w:val="Hyperlink"/>
          </w:rPr>
          <w:t>0</w:t>
        </w:r>
        <w:r w:rsidR="00554032" w:rsidRPr="00554032">
          <w:rPr>
            <w:rStyle w:val="Hyperlink"/>
          </w:rPr>
          <w:t>16/j.artmed.2014.06.004</w:t>
        </w:r>
      </w:hyperlink>
    </w:p>
    <w:p w14:paraId="3FF7EDA3" w14:textId="14FD1FE8" w:rsidR="00751D4E" w:rsidRPr="009307E0" w:rsidRDefault="00751D4E" w:rsidP="00751D4E">
      <w:pPr>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751D4E">
      <w:pPr>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w:t>
        </w:r>
        <w:r w:rsidR="00F9308A" w:rsidRPr="00B068B0">
          <w:rPr>
            <w:rStyle w:val="Hyperlink"/>
            <w:rFonts w:cs="Helvetica"/>
            <w:szCs w:val="24"/>
          </w:rPr>
          <w:t>10.1001/jamainternmed.201</w:t>
        </w:r>
        <w:r w:rsidR="00F9308A" w:rsidRPr="00B068B0">
          <w:rPr>
            <w:rStyle w:val="Hyperlink"/>
            <w:rFonts w:cs="Helvetica"/>
            <w:szCs w:val="24"/>
          </w:rPr>
          <w:t>6</w:t>
        </w:r>
        <w:r w:rsidR="00F9308A" w:rsidRPr="00B068B0">
          <w:rPr>
            <w:rStyle w:val="Hyperlink"/>
            <w:rFonts w:cs="Helvetica"/>
            <w:szCs w:val="24"/>
          </w:rPr>
          <w:t>.0400</w:t>
        </w:r>
      </w:hyperlink>
    </w:p>
    <w:p w14:paraId="166F8EA4" w14:textId="65EA6E25" w:rsidR="00751D4E" w:rsidRPr="00DF609E" w:rsidRDefault="00751D4E" w:rsidP="00751D4E">
      <w:pPr>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w:t>
        </w:r>
        <w:r w:rsidR="00F9308A" w:rsidRPr="00DF609E">
          <w:rPr>
            <w:rStyle w:val="Hyperlink"/>
            <w:rFonts w:cs="Helvetica"/>
            <w:szCs w:val="24"/>
          </w:rPr>
          <w:t>-</w:t>
        </w:r>
        <w:r w:rsidR="00F9308A" w:rsidRPr="00DF609E">
          <w:rPr>
            <w:rStyle w:val="Hyperlink"/>
            <w:rFonts w:cs="Helvetica"/>
            <w:szCs w:val="24"/>
          </w:rPr>
          <w:t>1017/</w:t>
        </w:r>
      </w:hyperlink>
    </w:p>
    <w:p w14:paraId="50BFE525" w14:textId="5A129C66" w:rsidR="00751D4E" w:rsidRDefault="00751D4E" w:rsidP="00751D4E">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w:t>
        </w:r>
        <w:r w:rsidRPr="00E10333">
          <w:rPr>
            <w:rStyle w:val="Hyperlink"/>
            <w:rFonts w:cs="Helvetica"/>
            <w:szCs w:val="24"/>
          </w:rPr>
          <w:t>_</w:t>
        </w:r>
        <w:r w:rsidRPr="00E10333">
          <w:rPr>
            <w:rStyle w:val="Hyperlink"/>
            <w:rFonts w:cs="Helvetica"/>
            <w:szCs w:val="24"/>
          </w:rPr>
          <w:t>00433</w:t>
        </w:r>
      </w:hyperlink>
    </w:p>
    <w:p w14:paraId="24F93DC6" w14:textId="7DAE9CAB" w:rsidR="009E3572" w:rsidRPr="009E3572" w:rsidRDefault="009E3572" w:rsidP="009E3572">
      <w:pPr>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w:t>
        </w:r>
        <w:r w:rsidRPr="009E3572">
          <w:rPr>
            <w:rStyle w:val="Hyperlink"/>
            <w:rFonts w:cs="Helvetica"/>
            <w:szCs w:val="24"/>
          </w:rPr>
          <w:t>4</w:t>
        </w:r>
        <w:r w:rsidRPr="009E3572">
          <w:rPr>
            <w:rStyle w:val="Hyperlink"/>
            <w:rFonts w:cs="Helvetica"/>
            <w:szCs w:val="24"/>
          </w:rPr>
          <w:t>37/Interspeech.2004-668</w:t>
        </w:r>
      </w:hyperlink>
    </w:p>
    <w:p w14:paraId="6CC6A5CA" w14:textId="2CAD7A5A" w:rsidR="00751D4E" w:rsidRPr="00BB0853" w:rsidRDefault="00751D4E" w:rsidP="00751D4E">
      <w:pPr>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w:t>
        </w:r>
        <w:r w:rsidRPr="00BB0853">
          <w:rPr>
            <w:rStyle w:val="Hyperlink"/>
            <w:rFonts w:cs="Helvetica"/>
            <w:szCs w:val="24"/>
          </w:rPr>
          <w:t>6</w:t>
        </w:r>
        <w:r w:rsidRPr="00BB0853">
          <w:rPr>
            <w:rStyle w:val="Hyperlink"/>
            <w:rFonts w:cs="Helvetica"/>
            <w:szCs w:val="24"/>
          </w:rPr>
          <w:t>2/cpsy_a_00030</w:t>
        </w:r>
      </w:hyperlink>
    </w:p>
    <w:p w14:paraId="1BD31F0F" w14:textId="089B0E82" w:rsidR="00751D4E" w:rsidRPr="00D87C7E" w:rsidRDefault="00751D4E" w:rsidP="00751D4E">
      <w:pPr>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2" w:tgtFrame="_new" w:history="1">
        <w:r w:rsidRPr="00D87C7E">
          <w:rPr>
            <w:rStyle w:val="Hyperlink"/>
            <w:rFonts w:cs="Helvetica"/>
            <w:szCs w:val="24"/>
          </w:rPr>
          <w:t>https://dl.ic</w:t>
        </w:r>
        <w:r w:rsidRPr="00D87C7E">
          <w:rPr>
            <w:rStyle w:val="Hyperlink"/>
            <w:rFonts w:cs="Helvetica"/>
            <w:szCs w:val="24"/>
          </w:rPr>
          <w:t>d</w:t>
        </w:r>
        <w:r w:rsidRPr="00D87C7E">
          <w:rPr>
            <w:rStyle w:val="Hyperlink"/>
            <w:rFonts w:cs="Helvetica"/>
            <w:szCs w:val="24"/>
          </w:rPr>
          <w:t>st.org/pdfs/files4/4bb8d0</w:t>
        </w:r>
        <w:r w:rsidRPr="00D87C7E">
          <w:rPr>
            <w:rStyle w:val="Hyperlink"/>
            <w:rFonts w:cs="Helvetica"/>
            <w:szCs w:val="24"/>
          </w:rPr>
          <w:t>8</w:t>
        </w:r>
        <w:r w:rsidRPr="00D87C7E">
          <w:rPr>
            <w:rStyle w:val="Hyperlink"/>
            <w:rFonts w:cs="Helvetica"/>
            <w:szCs w:val="24"/>
          </w:rPr>
          <w:t>a9b309df7d86e62ec4056ceef.pdf</w:t>
        </w:r>
      </w:hyperlink>
    </w:p>
    <w:p w14:paraId="0D5B52DA" w14:textId="68D1E9CB" w:rsidR="00751D4E" w:rsidRPr="00423A64" w:rsidRDefault="00751D4E" w:rsidP="00751D4E">
      <w:pPr>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w:t>
        </w:r>
        <w:r w:rsidRPr="00423A64">
          <w:rPr>
            <w:rStyle w:val="Hyperlink"/>
            <w:rFonts w:cs="Helvetica"/>
            <w:szCs w:val="24"/>
          </w:rPr>
          <w:t>7</w:t>
        </w:r>
        <w:r w:rsidRPr="00423A64">
          <w:rPr>
            <w:rStyle w:val="Hyperlink"/>
            <w:rFonts w:cs="Helvetica"/>
            <w:szCs w:val="24"/>
          </w:rPr>
          <w:t>6</w:t>
        </w:r>
      </w:hyperlink>
    </w:p>
    <w:p w14:paraId="4C4086C0" w14:textId="0821324A" w:rsidR="00751D4E" w:rsidRPr="00835FE8" w:rsidRDefault="00751D4E" w:rsidP="00751D4E">
      <w:pPr>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w:t>
        </w:r>
        <w:r w:rsidRPr="00835FE8">
          <w:rPr>
            <w:rStyle w:val="Hyperlink"/>
            <w:rFonts w:cs="Helvetica"/>
            <w:szCs w:val="24"/>
          </w:rPr>
          <w:t>r</w:t>
        </w:r>
        <w:r w:rsidRPr="00835FE8">
          <w:rPr>
            <w:rStyle w:val="Hyperlink"/>
            <w:rFonts w:cs="Helvetica"/>
            <w:szCs w:val="24"/>
          </w:rPr>
          <w:t>g/10.13140/RG.2.2.23890.43205</w:t>
        </w:r>
      </w:hyperlink>
    </w:p>
    <w:p w14:paraId="627E5F7F" w14:textId="2E280E69" w:rsidR="00751D4E" w:rsidRPr="00835FE8" w:rsidRDefault="00751D4E" w:rsidP="00751D4E">
      <w:pPr>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IEEE Trans Pattern Anal Mach Intell</w:t>
      </w:r>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w:t>
        </w:r>
        <w:r w:rsidRPr="00835FE8">
          <w:rPr>
            <w:rStyle w:val="Hyperlink"/>
            <w:rFonts w:cs="Helvetica"/>
            <w:szCs w:val="24"/>
          </w:rPr>
          <w:t>2</w:t>
        </w:r>
        <w:r w:rsidRPr="00835FE8">
          <w:rPr>
            <w:rStyle w:val="Hyperlink"/>
            <w:rFonts w:cs="Helvetica"/>
            <w:szCs w:val="24"/>
          </w:rPr>
          <w:t>4821</w:t>
        </w:r>
      </w:hyperlink>
    </w:p>
    <w:p w14:paraId="25226C9F" w14:textId="753F2B6C" w:rsidR="00751D4E" w:rsidRDefault="00751D4E" w:rsidP="00751D4E">
      <w:r w:rsidRPr="004E276C">
        <w:rPr>
          <w:rFonts w:cs="Helvetica"/>
          <w:color w:val="000000"/>
          <w:szCs w:val="24"/>
        </w:rPr>
        <w:t xml:space="preserve">Patel, C.I., et al., 2012. Optical Character Recognition by Open Source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w:t>
        </w:r>
        <w:r w:rsidRPr="004E276C">
          <w:rPr>
            <w:rStyle w:val="Hyperlink"/>
            <w:rFonts w:cs="Helvetica"/>
            <w:szCs w:val="24"/>
          </w:rPr>
          <w:t>0</w:t>
        </w:r>
        <w:r w:rsidRPr="004E276C">
          <w:rPr>
            <w:rStyle w:val="Hyperlink"/>
            <w:rFonts w:cs="Helvetica"/>
            <w:szCs w:val="24"/>
          </w:rPr>
          <w:t>.5120/8794-2784</w:t>
        </w:r>
      </w:hyperlink>
    </w:p>
    <w:p w14:paraId="1EBBFABF" w14:textId="0E37C563" w:rsidR="006C2AFF" w:rsidRPr="004E276C" w:rsidRDefault="006C2AFF" w:rsidP="00751D4E">
      <w:pPr>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751D4E">
      <w:pPr>
        <w:rPr>
          <w:rFonts w:cs="Helvetica"/>
          <w:color w:val="000000"/>
          <w:szCs w:val="24"/>
        </w:rPr>
      </w:pPr>
      <w:r w:rsidRPr="00DB30CB">
        <w:rPr>
          <w:rFonts w:cs="Helvetica"/>
          <w:color w:val="000000"/>
          <w:szCs w:val="24"/>
        </w:rPr>
        <w:t xml:space="preserve">Reimers, N. &amp; Gurevych,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w:t>
        </w:r>
        <w:r w:rsidRPr="00DB30CB">
          <w:rPr>
            <w:rStyle w:val="Hyperlink"/>
            <w:rFonts w:cs="Helvetica"/>
            <w:szCs w:val="24"/>
          </w:rPr>
          <w:t>/</w:t>
        </w:r>
        <w:r w:rsidRPr="00DB30CB">
          <w:rPr>
            <w:rStyle w:val="Hyperlink"/>
            <w:rFonts w:cs="Helvetica"/>
            <w:szCs w:val="24"/>
          </w:rPr>
          <w:t>aclanthology.org/D19-1410/</w:t>
        </w:r>
      </w:hyperlink>
    </w:p>
    <w:p w14:paraId="3132792B" w14:textId="675CD337" w:rsidR="00751D4E" w:rsidRPr="007D21D0" w:rsidRDefault="00751D4E" w:rsidP="00751D4E">
      <w:pPr>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751D4E">
      <w:pPr>
        <w:rPr>
          <w:rFonts w:cs="Helvetica"/>
          <w:color w:val="000000"/>
          <w:szCs w:val="24"/>
        </w:rPr>
      </w:pPr>
      <w:r w:rsidRPr="00616125">
        <w:rPr>
          <w:rFonts w:cs="Helvetica"/>
          <w:color w:val="000000"/>
          <w:szCs w:val="24"/>
        </w:rPr>
        <w:t xml:space="preserve">Sanh, V., et al., 2019. DistilBERT, a distilled version of BERT: smaller, faster, cheaper and lighter. </w:t>
      </w:r>
      <w:r w:rsidRPr="00616125">
        <w:rPr>
          <w:rFonts w:cs="Helvetica"/>
          <w:i/>
          <w:iCs/>
          <w:color w:val="000000"/>
          <w:szCs w:val="24"/>
        </w:rPr>
        <w:t>arXiv preprint</w:t>
      </w:r>
      <w:r w:rsidRPr="00616125">
        <w:rPr>
          <w:rFonts w:cs="Helvetica"/>
          <w:color w:val="000000"/>
          <w:szCs w:val="24"/>
        </w:rPr>
        <w:t xml:space="preserve">. [Preprint] </w:t>
      </w:r>
      <w:hyperlink r:id="rId101" w:tgtFrame="_new" w:history="1">
        <w:r w:rsidRPr="00616125">
          <w:rPr>
            <w:rStyle w:val="Hyperlink"/>
            <w:rFonts w:cs="Helvetica"/>
            <w:szCs w:val="24"/>
          </w:rPr>
          <w:t>https://doi.o</w:t>
        </w:r>
        <w:r w:rsidRPr="00616125">
          <w:rPr>
            <w:rStyle w:val="Hyperlink"/>
            <w:rFonts w:cs="Helvetica"/>
            <w:szCs w:val="24"/>
          </w:rPr>
          <w:t>r</w:t>
        </w:r>
        <w:r w:rsidRPr="00616125">
          <w:rPr>
            <w:rStyle w:val="Hyperlink"/>
            <w:rFonts w:cs="Helvetica"/>
            <w:szCs w:val="24"/>
          </w:rPr>
          <w:t>g/</w:t>
        </w:r>
        <w:r w:rsidRPr="00616125">
          <w:rPr>
            <w:rStyle w:val="Hyperlink"/>
            <w:rFonts w:cs="Helvetica"/>
            <w:szCs w:val="24"/>
          </w:rPr>
          <w:t>1</w:t>
        </w:r>
        <w:r w:rsidRPr="00616125">
          <w:rPr>
            <w:rStyle w:val="Hyperlink"/>
            <w:rFonts w:cs="Helvetica"/>
            <w:szCs w:val="24"/>
          </w:rPr>
          <w:t>0.48550/arXiv.1910.01108</w:t>
        </w:r>
      </w:hyperlink>
    </w:p>
    <w:p w14:paraId="722A8224" w14:textId="495B0204" w:rsidR="00751D4E" w:rsidRPr="00130396" w:rsidRDefault="00751D4E" w:rsidP="00751D4E">
      <w:pPr>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w:t>
        </w:r>
        <w:r w:rsidRPr="00130396">
          <w:rPr>
            <w:rStyle w:val="Hyperlink"/>
            <w:rFonts w:cs="Helvetica"/>
            <w:szCs w:val="24"/>
          </w:rPr>
          <w:t>r</w:t>
        </w:r>
        <w:r w:rsidRPr="00130396">
          <w:rPr>
            <w:rStyle w:val="Hyperlink"/>
            <w:rFonts w:cs="Helvetica"/>
            <w:szCs w:val="24"/>
          </w:rPr>
          <w:t>g/10.1016/j.mayocp.2016.05.007</w:t>
        </w:r>
      </w:hyperlink>
    </w:p>
    <w:p w14:paraId="63CFA4F9" w14:textId="3482AD5A" w:rsidR="00751D4E" w:rsidRPr="00C0602E" w:rsidRDefault="00751D4E" w:rsidP="00751D4E">
      <w:pPr>
        <w:rPr>
          <w:rFonts w:cs="Helvetica"/>
          <w:color w:val="000000"/>
          <w:szCs w:val="24"/>
        </w:rPr>
      </w:pPr>
      <w:r w:rsidRPr="00C0602E">
        <w:rPr>
          <w:rFonts w:cs="Helvetica"/>
          <w:color w:val="000000"/>
          <w:szCs w:val="24"/>
        </w:rPr>
        <w:t xml:space="preserve">Shen, J., et al., 2018. Natural TTS Synthesis by Conditioning Wavenet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w:t>
        </w:r>
        <w:r w:rsidRPr="00C0602E">
          <w:rPr>
            <w:rStyle w:val="Hyperlink"/>
            <w:rFonts w:cs="Helvetica"/>
            <w:szCs w:val="24"/>
          </w:rPr>
          <w:t>S</w:t>
        </w:r>
        <w:r w:rsidRPr="00C0602E">
          <w:rPr>
            <w:rStyle w:val="Hyperlink"/>
            <w:rFonts w:cs="Helvetica"/>
            <w:szCs w:val="24"/>
          </w:rPr>
          <w:t>SP.2018.8461368</w:t>
        </w:r>
      </w:hyperlink>
    </w:p>
    <w:p w14:paraId="2FF8D513" w14:textId="20E98D8D" w:rsidR="00751D4E" w:rsidRPr="002323F1" w:rsidRDefault="00751D4E" w:rsidP="00751D4E">
      <w:pPr>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w:t>
        </w:r>
        <w:r w:rsidRPr="002323F1">
          <w:rPr>
            <w:rStyle w:val="Hyperlink"/>
            <w:rFonts w:cs="Helvetica"/>
            <w:szCs w:val="24"/>
          </w:rPr>
          <w:t>g</w:t>
        </w:r>
        <w:r w:rsidRPr="002323F1">
          <w:rPr>
            <w:rStyle w:val="Hyperlink"/>
            <w:rFonts w:cs="Helvetica"/>
            <w:szCs w:val="24"/>
          </w:rPr>
          <w:t>/10.1109/ICDAR.2007.4376991</w:t>
        </w:r>
      </w:hyperlink>
    </w:p>
    <w:p w14:paraId="781313F7" w14:textId="7630FD5D" w:rsidR="00751D4E" w:rsidRPr="00093B9D" w:rsidRDefault="00751D4E" w:rsidP="00751D4E">
      <w:pPr>
        <w:rPr>
          <w:rFonts w:cs="Helvetica"/>
          <w:color w:val="000000"/>
          <w:szCs w:val="24"/>
        </w:rPr>
      </w:pPr>
      <w:r w:rsidRPr="00093B9D">
        <w:rPr>
          <w:rFonts w:cs="Helvetica"/>
          <w:color w:val="000000"/>
          <w:szCs w:val="24"/>
        </w:rPr>
        <w:t xml:space="preserve">Torous,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w:t>
        </w:r>
        <w:r w:rsidRPr="00093B9D">
          <w:rPr>
            <w:rStyle w:val="Hyperlink"/>
            <w:rFonts w:cs="Helvetica"/>
            <w:szCs w:val="24"/>
          </w:rPr>
          <w:t>o</w:t>
        </w:r>
        <w:r w:rsidRPr="00093B9D">
          <w:rPr>
            <w:rStyle w:val="Hyperlink"/>
            <w:rFonts w:cs="Helvetica"/>
            <w:szCs w:val="24"/>
          </w:rPr>
          <w:t>i.org/10.1136/eb</w:t>
        </w:r>
        <w:r w:rsidRPr="00093B9D">
          <w:rPr>
            <w:rStyle w:val="Hyperlink"/>
            <w:rFonts w:cs="Helvetica"/>
            <w:szCs w:val="24"/>
          </w:rPr>
          <w:t>-</w:t>
        </w:r>
        <w:r w:rsidRPr="00093B9D">
          <w:rPr>
            <w:rStyle w:val="Hyperlink"/>
            <w:rFonts w:cs="Helvetica"/>
            <w:szCs w:val="24"/>
          </w:rPr>
          <w:t>2018-102891</w:t>
        </w:r>
      </w:hyperlink>
    </w:p>
    <w:p w14:paraId="0EF1D150" w14:textId="2E78AADD" w:rsidR="00751D4E" w:rsidRPr="002306B0" w:rsidRDefault="00751D4E" w:rsidP="00751D4E">
      <w:pPr>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751D4E">
      <w:pPr>
        <w:rPr>
          <w:rFonts w:cs="Helvetica"/>
          <w:color w:val="000000"/>
          <w:szCs w:val="24"/>
        </w:rPr>
      </w:pPr>
      <w:r w:rsidRPr="007B304B">
        <w:rPr>
          <w:rFonts w:cs="Helvetica"/>
          <w:color w:val="000000"/>
          <w:szCs w:val="24"/>
        </w:rPr>
        <w:lastRenderedPageBreak/>
        <w:t xml:space="preserve">Tsoumakas, G., Katakis, I. &amp; Vlahavas,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w:t>
        </w:r>
        <w:r w:rsidRPr="007B304B">
          <w:rPr>
            <w:rStyle w:val="Hyperlink"/>
            <w:rFonts w:cs="Helvetica"/>
            <w:szCs w:val="24"/>
          </w:rPr>
          <w:t>7</w:t>
        </w:r>
        <w:r w:rsidRPr="007B304B">
          <w:rPr>
            <w:rStyle w:val="Hyperlink"/>
            <w:rFonts w:cs="Helvetica"/>
            <w:szCs w:val="24"/>
          </w:rPr>
          <w:t>-09823-4_33</w:t>
        </w:r>
      </w:hyperlink>
    </w:p>
    <w:p w14:paraId="4D7ADECA" w14:textId="23A3403C" w:rsidR="00751D4E" w:rsidRPr="0062687B" w:rsidRDefault="00751D4E" w:rsidP="00751D4E">
      <w:pPr>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w:t>
        </w:r>
        <w:r w:rsidR="00B439CD" w:rsidRPr="0062687B">
          <w:rPr>
            <w:rStyle w:val="Hyperlink"/>
          </w:rPr>
          <w:t>2</w:t>
        </w:r>
        <w:r w:rsidR="00B439CD" w:rsidRPr="0062687B">
          <w:rPr>
            <w:rStyle w:val="Hyperlink"/>
          </w:rPr>
          <w:t>95349</w:t>
        </w:r>
      </w:hyperlink>
    </w:p>
    <w:p w14:paraId="3CA0A2AA" w14:textId="713D9BF4" w:rsidR="00972F81" w:rsidRPr="00BC74AD" w:rsidRDefault="00972F81" w:rsidP="00751D4E">
      <w:pPr>
        <w:rPr>
          <w:rFonts w:cs="Helvetica"/>
          <w:color w:val="000000"/>
          <w:szCs w:val="24"/>
        </w:rPr>
      </w:pPr>
      <w:r w:rsidRPr="00BC74AD">
        <w:rPr>
          <w:rFonts w:cs="Helvetica"/>
          <w:color w:val="000000"/>
          <w:szCs w:val="24"/>
        </w:rPr>
        <w:t xml:space="preserve">Young, M.C., et al., 2018. The Effects of Text-to-Speech on Reading Outcomes for Secondary Students With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751D4E">
      <w:pPr>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483ADD">
      <w:pPr>
        <w:rPr>
          <w:rFonts w:cs="Helvetica"/>
          <w:color w:val="000000"/>
          <w:szCs w:val="24"/>
        </w:rPr>
      </w:pPr>
      <w:r w:rsidRPr="00F71E29">
        <w:rPr>
          <w:rFonts w:cs="Helvetica"/>
          <w:color w:val="000000"/>
          <w:szCs w:val="24"/>
        </w:rPr>
        <w:t xml:space="preserve">Zuiderveld,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w:t>
        </w:r>
        <w:r w:rsidRPr="00F71E29">
          <w:rPr>
            <w:rStyle w:val="Hyperlink"/>
            <w:rFonts w:cs="Helvetica"/>
            <w:szCs w:val="24"/>
          </w:rPr>
          <w:t>c</w:t>
        </w:r>
        <w:r w:rsidRPr="00F71E29">
          <w:rPr>
            <w:rStyle w:val="Hyperlink"/>
            <w:rFonts w:cs="Helvetica"/>
            <w:szCs w:val="24"/>
          </w:rPr>
          <w:t>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1AF54" w14:textId="77777777" w:rsidR="0088601E" w:rsidRDefault="0088601E" w:rsidP="007160F9">
      <w:pPr>
        <w:spacing w:after="0" w:line="240" w:lineRule="auto"/>
      </w:pPr>
      <w:r>
        <w:separator/>
      </w:r>
    </w:p>
  </w:endnote>
  <w:endnote w:type="continuationSeparator" w:id="0">
    <w:p w14:paraId="67498357" w14:textId="77777777" w:rsidR="0088601E" w:rsidRDefault="0088601E"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Content>
      <w:sdt>
        <w:sdtPr>
          <w:id w:val="1728636285"/>
          <w:docPartObj>
            <w:docPartGallery w:val="Page Numbers (Top of Page)"/>
            <w:docPartUnique/>
          </w:docPartObj>
        </w:sdt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95977" w14:textId="77777777" w:rsidR="0088601E" w:rsidRDefault="0088601E" w:rsidP="007160F9">
      <w:pPr>
        <w:spacing w:after="0" w:line="240" w:lineRule="auto"/>
      </w:pPr>
      <w:r>
        <w:separator/>
      </w:r>
    </w:p>
  </w:footnote>
  <w:footnote w:type="continuationSeparator" w:id="0">
    <w:p w14:paraId="538F42D1" w14:textId="77777777" w:rsidR="0088601E" w:rsidRDefault="0088601E"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668F"/>
    <w:rsid w:val="0003037D"/>
    <w:rsid w:val="0003213D"/>
    <w:rsid w:val="0003255D"/>
    <w:rsid w:val="00035115"/>
    <w:rsid w:val="00036F49"/>
    <w:rsid w:val="00037BEA"/>
    <w:rsid w:val="00042AB8"/>
    <w:rsid w:val="00043461"/>
    <w:rsid w:val="000443B6"/>
    <w:rsid w:val="00045F25"/>
    <w:rsid w:val="000536D7"/>
    <w:rsid w:val="00053E1F"/>
    <w:rsid w:val="00054348"/>
    <w:rsid w:val="000546A4"/>
    <w:rsid w:val="000603DF"/>
    <w:rsid w:val="00062332"/>
    <w:rsid w:val="000652CA"/>
    <w:rsid w:val="000660E2"/>
    <w:rsid w:val="00071179"/>
    <w:rsid w:val="00074B38"/>
    <w:rsid w:val="000759D5"/>
    <w:rsid w:val="00082AF1"/>
    <w:rsid w:val="00083EA5"/>
    <w:rsid w:val="00093169"/>
    <w:rsid w:val="00093B9D"/>
    <w:rsid w:val="0009624A"/>
    <w:rsid w:val="00097197"/>
    <w:rsid w:val="000977A0"/>
    <w:rsid w:val="000A31B8"/>
    <w:rsid w:val="000A72FB"/>
    <w:rsid w:val="000B348A"/>
    <w:rsid w:val="000B38DA"/>
    <w:rsid w:val="000B77C0"/>
    <w:rsid w:val="000C09DB"/>
    <w:rsid w:val="000C1C2D"/>
    <w:rsid w:val="000C26BF"/>
    <w:rsid w:val="000C2CE7"/>
    <w:rsid w:val="000C7A39"/>
    <w:rsid w:val="000D07F9"/>
    <w:rsid w:val="000D495F"/>
    <w:rsid w:val="000E367E"/>
    <w:rsid w:val="000E4335"/>
    <w:rsid w:val="000E445E"/>
    <w:rsid w:val="000E4BD5"/>
    <w:rsid w:val="000E5BF5"/>
    <w:rsid w:val="000E6880"/>
    <w:rsid w:val="000F003A"/>
    <w:rsid w:val="000F28E8"/>
    <w:rsid w:val="000F5CD5"/>
    <w:rsid w:val="000F5DA7"/>
    <w:rsid w:val="000F6C3F"/>
    <w:rsid w:val="0010223F"/>
    <w:rsid w:val="00103F65"/>
    <w:rsid w:val="001042FA"/>
    <w:rsid w:val="00104702"/>
    <w:rsid w:val="00107D3C"/>
    <w:rsid w:val="00115910"/>
    <w:rsid w:val="00116400"/>
    <w:rsid w:val="00117CCD"/>
    <w:rsid w:val="00122059"/>
    <w:rsid w:val="00123D99"/>
    <w:rsid w:val="00124A2F"/>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7A07"/>
    <w:rsid w:val="00173AAA"/>
    <w:rsid w:val="00180A2A"/>
    <w:rsid w:val="00181320"/>
    <w:rsid w:val="00186AAB"/>
    <w:rsid w:val="0019020C"/>
    <w:rsid w:val="00192044"/>
    <w:rsid w:val="00192649"/>
    <w:rsid w:val="00192FCF"/>
    <w:rsid w:val="00193633"/>
    <w:rsid w:val="00193A24"/>
    <w:rsid w:val="001966EC"/>
    <w:rsid w:val="00196FCB"/>
    <w:rsid w:val="001A138F"/>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F054D"/>
    <w:rsid w:val="001F348B"/>
    <w:rsid w:val="001F5166"/>
    <w:rsid w:val="001F7EAA"/>
    <w:rsid w:val="002004AF"/>
    <w:rsid w:val="00202AA9"/>
    <w:rsid w:val="00206FDE"/>
    <w:rsid w:val="00210652"/>
    <w:rsid w:val="002149A3"/>
    <w:rsid w:val="00214C2C"/>
    <w:rsid w:val="00214C52"/>
    <w:rsid w:val="00223492"/>
    <w:rsid w:val="00224405"/>
    <w:rsid w:val="002244E3"/>
    <w:rsid w:val="00226713"/>
    <w:rsid w:val="00226F89"/>
    <w:rsid w:val="002275E0"/>
    <w:rsid w:val="00227C25"/>
    <w:rsid w:val="002306B0"/>
    <w:rsid w:val="002314E4"/>
    <w:rsid w:val="002315A9"/>
    <w:rsid w:val="002323F1"/>
    <w:rsid w:val="00232AD4"/>
    <w:rsid w:val="00234287"/>
    <w:rsid w:val="002369FE"/>
    <w:rsid w:val="00237397"/>
    <w:rsid w:val="00240F0F"/>
    <w:rsid w:val="00247DB6"/>
    <w:rsid w:val="0026075E"/>
    <w:rsid w:val="00262430"/>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5A0"/>
    <w:rsid w:val="002A5EB2"/>
    <w:rsid w:val="002B0FC2"/>
    <w:rsid w:val="002B6E42"/>
    <w:rsid w:val="002B7AA8"/>
    <w:rsid w:val="002C01CC"/>
    <w:rsid w:val="002C7AD0"/>
    <w:rsid w:val="002D062A"/>
    <w:rsid w:val="002D1204"/>
    <w:rsid w:val="002D5B83"/>
    <w:rsid w:val="002E0708"/>
    <w:rsid w:val="002E40E3"/>
    <w:rsid w:val="002E5431"/>
    <w:rsid w:val="002E5E81"/>
    <w:rsid w:val="002E5EE1"/>
    <w:rsid w:val="002F0C64"/>
    <w:rsid w:val="002F2A04"/>
    <w:rsid w:val="002F2E15"/>
    <w:rsid w:val="002F4635"/>
    <w:rsid w:val="00303D44"/>
    <w:rsid w:val="00304538"/>
    <w:rsid w:val="00310CA2"/>
    <w:rsid w:val="00315535"/>
    <w:rsid w:val="003163D8"/>
    <w:rsid w:val="00317054"/>
    <w:rsid w:val="00317363"/>
    <w:rsid w:val="00323B59"/>
    <w:rsid w:val="00323F73"/>
    <w:rsid w:val="0033384C"/>
    <w:rsid w:val="003348C9"/>
    <w:rsid w:val="00335288"/>
    <w:rsid w:val="00335739"/>
    <w:rsid w:val="00337145"/>
    <w:rsid w:val="00341818"/>
    <w:rsid w:val="00342DC3"/>
    <w:rsid w:val="003454AE"/>
    <w:rsid w:val="00351895"/>
    <w:rsid w:val="003518F7"/>
    <w:rsid w:val="00352AE5"/>
    <w:rsid w:val="00365688"/>
    <w:rsid w:val="00365F21"/>
    <w:rsid w:val="00366132"/>
    <w:rsid w:val="00370CE6"/>
    <w:rsid w:val="0037139E"/>
    <w:rsid w:val="0037157F"/>
    <w:rsid w:val="0037451D"/>
    <w:rsid w:val="0037787F"/>
    <w:rsid w:val="00380391"/>
    <w:rsid w:val="00384910"/>
    <w:rsid w:val="0038624E"/>
    <w:rsid w:val="00386CFB"/>
    <w:rsid w:val="00396789"/>
    <w:rsid w:val="003A0E3E"/>
    <w:rsid w:val="003A2094"/>
    <w:rsid w:val="003A4F58"/>
    <w:rsid w:val="003A51D3"/>
    <w:rsid w:val="003A608F"/>
    <w:rsid w:val="003A72B0"/>
    <w:rsid w:val="003B4B79"/>
    <w:rsid w:val="003B502C"/>
    <w:rsid w:val="003B5129"/>
    <w:rsid w:val="003B657D"/>
    <w:rsid w:val="003B6B54"/>
    <w:rsid w:val="003C088D"/>
    <w:rsid w:val="003C4268"/>
    <w:rsid w:val="003C4E60"/>
    <w:rsid w:val="003C6DBD"/>
    <w:rsid w:val="003D0FDA"/>
    <w:rsid w:val="003D2F14"/>
    <w:rsid w:val="003D33EF"/>
    <w:rsid w:val="003D390D"/>
    <w:rsid w:val="003D618C"/>
    <w:rsid w:val="003D65C9"/>
    <w:rsid w:val="003D6792"/>
    <w:rsid w:val="003E2BD3"/>
    <w:rsid w:val="003E2E84"/>
    <w:rsid w:val="003E3262"/>
    <w:rsid w:val="003E5B1A"/>
    <w:rsid w:val="003E79C6"/>
    <w:rsid w:val="003F6260"/>
    <w:rsid w:val="003F660C"/>
    <w:rsid w:val="003F6837"/>
    <w:rsid w:val="003F786A"/>
    <w:rsid w:val="004031F0"/>
    <w:rsid w:val="0040730C"/>
    <w:rsid w:val="00411396"/>
    <w:rsid w:val="00411EAA"/>
    <w:rsid w:val="00417F7F"/>
    <w:rsid w:val="0042304F"/>
    <w:rsid w:val="00423A64"/>
    <w:rsid w:val="004275F1"/>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4CF"/>
    <w:rsid w:val="004A3301"/>
    <w:rsid w:val="004A43B4"/>
    <w:rsid w:val="004B0D06"/>
    <w:rsid w:val="004B143F"/>
    <w:rsid w:val="004B257E"/>
    <w:rsid w:val="004B6D7F"/>
    <w:rsid w:val="004C1784"/>
    <w:rsid w:val="004C3BE2"/>
    <w:rsid w:val="004D0BAE"/>
    <w:rsid w:val="004D0D07"/>
    <w:rsid w:val="004D14C2"/>
    <w:rsid w:val="004E276C"/>
    <w:rsid w:val="004E4656"/>
    <w:rsid w:val="004F407D"/>
    <w:rsid w:val="00500772"/>
    <w:rsid w:val="005015B2"/>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6ACD"/>
    <w:rsid w:val="00586FF3"/>
    <w:rsid w:val="0058765B"/>
    <w:rsid w:val="00592156"/>
    <w:rsid w:val="00594A7D"/>
    <w:rsid w:val="0059724F"/>
    <w:rsid w:val="005B08CF"/>
    <w:rsid w:val="005B5E75"/>
    <w:rsid w:val="005B5FB6"/>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33F9"/>
    <w:rsid w:val="00673EC6"/>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5CF2"/>
    <w:rsid w:val="006F6408"/>
    <w:rsid w:val="006F75CF"/>
    <w:rsid w:val="00705E93"/>
    <w:rsid w:val="0071447C"/>
    <w:rsid w:val="00716017"/>
    <w:rsid w:val="007160F9"/>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E77"/>
    <w:rsid w:val="00796488"/>
    <w:rsid w:val="00796EF4"/>
    <w:rsid w:val="007A46F6"/>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E6CA7"/>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C03BE"/>
    <w:rsid w:val="008C03EC"/>
    <w:rsid w:val="008C6583"/>
    <w:rsid w:val="008C6673"/>
    <w:rsid w:val="008D25F4"/>
    <w:rsid w:val="008D4FF1"/>
    <w:rsid w:val="008D592F"/>
    <w:rsid w:val="008D7805"/>
    <w:rsid w:val="008E20DB"/>
    <w:rsid w:val="008E35A2"/>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4432"/>
    <w:rsid w:val="009353F7"/>
    <w:rsid w:val="00935BE1"/>
    <w:rsid w:val="00935E2E"/>
    <w:rsid w:val="00937407"/>
    <w:rsid w:val="00937982"/>
    <w:rsid w:val="00946169"/>
    <w:rsid w:val="0094647C"/>
    <w:rsid w:val="00952767"/>
    <w:rsid w:val="009538F9"/>
    <w:rsid w:val="00960368"/>
    <w:rsid w:val="009651D9"/>
    <w:rsid w:val="0096527F"/>
    <w:rsid w:val="0096682D"/>
    <w:rsid w:val="009669CB"/>
    <w:rsid w:val="0096778B"/>
    <w:rsid w:val="00971445"/>
    <w:rsid w:val="00972F81"/>
    <w:rsid w:val="00976740"/>
    <w:rsid w:val="00977D18"/>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23FE"/>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591A"/>
    <w:rsid w:val="00A41E7C"/>
    <w:rsid w:val="00A42E98"/>
    <w:rsid w:val="00A52592"/>
    <w:rsid w:val="00A541EF"/>
    <w:rsid w:val="00A601F1"/>
    <w:rsid w:val="00A6021A"/>
    <w:rsid w:val="00A61A5B"/>
    <w:rsid w:val="00A6213C"/>
    <w:rsid w:val="00A628CC"/>
    <w:rsid w:val="00A62F31"/>
    <w:rsid w:val="00A656A5"/>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6BCD"/>
    <w:rsid w:val="00B017E4"/>
    <w:rsid w:val="00B0272E"/>
    <w:rsid w:val="00B068B0"/>
    <w:rsid w:val="00B13969"/>
    <w:rsid w:val="00B14909"/>
    <w:rsid w:val="00B14995"/>
    <w:rsid w:val="00B20779"/>
    <w:rsid w:val="00B21AC9"/>
    <w:rsid w:val="00B24FE9"/>
    <w:rsid w:val="00B259F2"/>
    <w:rsid w:val="00B304A2"/>
    <w:rsid w:val="00B31B4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F4A"/>
    <w:rsid w:val="00B660D3"/>
    <w:rsid w:val="00B6624A"/>
    <w:rsid w:val="00B677F3"/>
    <w:rsid w:val="00B73D1D"/>
    <w:rsid w:val="00B73E65"/>
    <w:rsid w:val="00B748FA"/>
    <w:rsid w:val="00B74E3C"/>
    <w:rsid w:val="00B814AB"/>
    <w:rsid w:val="00B85A0C"/>
    <w:rsid w:val="00B863D9"/>
    <w:rsid w:val="00B91B88"/>
    <w:rsid w:val="00B91BA3"/>
    <w:rsid w:val="00B929DC"/>
    <w:rsid w:val="00B9366F"/>
    <w:rsid w:val="00B97799"/>
    <w:rsid w:val="00BB0853"/>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4CD9"/>
    <w:rsid w:val="00C57C96"/>
    <w:rsid w:val="00C734AF"/>
    <w:rsid w:val="00C76621"/>
    <w:rsid w:val="00C8166E"/>
    <w:rsid w:val="00C81E83"/>
    <w:rsid w:val="00C82B97"/>
    <w:rsid w:val="00C85D72"/>
    <w:rsid w:val="00C967A4"/>
    <w:rsid w:val="00C968DF"/>
    <w:rsid w:val="00CA16C0"/>
    <w:rsid w:val="00CA6E30"/>
    <w:rsid w:val="00CB5D1D"/>
    <w:rsid w:val="00CC016F"/>
    <w:rsid w:val="00CC0CF4"/>
    <w:rsid w:val="00CD3FD2"/>
    <w:rsid w:val="00CE0963"/>
    <w:rsid w:val="00CE0EE4"/>
    <w:rsid w:val="00CE1A69"/>
    <w:rsid w:val="00CE2368"/>
    <w:rsid w:val="00CE3FB4"/>
    <w:rsid w:val="00CE48AF"/>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7C6A"/>
    <w:rsid w:val="00D75892"/>
    <w:rsid w:val="00D77BC1"/>
    <w:rsid w:val="00D87630"/>
    <w:rsid w:val="00D87C7E"/>
    <w:rsid w:val="00D92CD7"/>
    <w:rsid w:val="00D9796A"/>
    <w:rsid w:val="00DA19D0"/>
    <w:rsid w:val="00DA3590"/>
    <w:rsid w:val="00DA35C7"/>
    <w:rsid w:val="00DA457E"/>
    <w:rsid w:val="00DA5451"/>
    <w:rsid w:val="00DA55A9"/>
    <w:rsid w:val="00DB30CB"/>
    <w:rsid w:val="00DB38D1"/>
    <w:rsid w:val="00DB4722"/>
    <w:rsid w:val="00DC2A1D"/>
    <w:rsid w:val="00DD1F4F"/>
    <w:rsid w:val="00DD316E"/>
    <w:rsid w:val="00DD3652"/>
    <w:rsid w:val="00DD383A"/>
    <w:rsid w:val="00DD3B79"/>
    <w:rsid w:val="00DD6C55"/>
    <w:rsid w:val="00DD79AD"/>
    <w:rsid w:val="00DE0746"/>
    <w:rsid w:val="00DE2750"/>
    <w:rsid w:val="00DF609E"/>
    <w:rsid w:val="00E0152F"/>
    <w:rsid w:val="00E02985"/>
    <w:rsid w:val="00E0793B"/>
    <w:rsid w:val="00E10333"/>
    <w:rsid w:val="00E11A9D"/>
    <w:rsid w:val="00E14D9F"/>
    <w:rsid w:val="00E16F44"/>
    <w:rsid w:val="00E17180"/>
    <w:rsid w:val="00E307F5"/>
    <w:rsid w:val="00E41A46"/>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5372"/>
    <w:rsid w:val="00E96B35"/>
    <w:rsid w:val="00EA4E7D"/>
    <w:rsid w:val="00EB0F43"/>
    <w:rsid w:val="00EC2C7E"/>
    <w:rsid w:val="00ED1FD8"/>
    <w:rsid w:val="00ED2B36"/>
    <w:rsid w:val="00ED5426"/>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5704"/>
    <w:rsid w:val="00F5136B"/>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1462</TotalTime>
  <Pages>48</Pages>
  <Words>16846</Words>
  <Characters>96023</Characters>
  <Application>Microsoft Office Word</Application>
  <DocSecurity>0</DocSecurity>
  <Lines>800</Lines>
  <Paragraphs>225</Paragraphs>
  <ScaleCrop>false</ScaleCrop>
  <Company/>
  <LinksUpToDate>false</LinksUpToDate>
  <CharactersWithSpaces>112644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866</cp:revision>
  <cp:lastPrinted>2026-02-07T15:20:00Z</cp:lastPrinted>
  <dcterms:created xsi:type="dcterms:W3CDTF">2026-01-29T09:36:00Z</dcterms:created>
  <dcterms:modified xsi:type="dcterms:W3CDTF">2026-02-07T15:21:00Z</dcterms:modified>
</cp:coreProperties>
</file>