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proofErr w:type="spellStart"/>
      <w:r w:rsidR="0037451D" w:rsidRPr="0037451D">
        <w:t>Koleck</w:t>
      </w:r>
      <w:proofErr w:type="spellEnd"/>
      <w:r w:rsidR="0037451D" w:rsidRPr="0037451D">
        <w:t xml:space="preserve">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6F53D58B"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proofErr w:type="spellStart"/>
      <w:r w:rsidR="004467D2" w:rsidRPr="004467D2">
        <w:t>Koleck</w:t>
      </w:r>
      <w:proofErr w:type="spellEnd"/>
      <w:r w:rsidR="004467D2" w:rsidRPr="004467D2">
        <w:t xml:space="preserve">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lastRenderedPageBreak/>
        <w:t>Project Aims and Objectives</w:t>
      </w:r>
      <w:bookmarkEnd w:id="3"/>
    </w:p>
    <w:p w14:paraId="7CA207AE" w14:textId="5238A1C4" w:rsidR="00AB1899" w:rsidRPr="00AB1899" w:rsidRDefault="00AB1899" w:rsidP="00AB1899">
      <w:pPr>
        <w:jc w:val="both"/>
      </w:pPr>
      <w:r w:rsidRPr="00AB1899">
        <w:t xml:space="preserve">The overarching aim is to support reflective understanding of handwritten text through structured, interpretable computational analysis. </w:t>
      </w:r>
      <w:proofErr w:type="spellStart"/>
      <w:r w:rsidRPr="00AB1899">
        <w:t>PsychExtract</w:t>
      </w:r>
      <w:proofErr w:type="spellEnd"/>
      <w:r w:rsidRPr="00AB1899">
        <w:t xml:space="preserve">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29668E93" w:rsidR="00AB1899" w:rsidRPr="00AB1899" w:rsidRDefault="00AB1899" w:rsidP="00AB1899">
      <w:pPr>
        <w:jc w:val="both"/>
      </w:pPr>
      <w:r w:rsidRPr="00AB1899">
        <w:t>To achieve this, the project designs a modular pipeline converting handwritten reflective text into digital representations. OCR forms the foundation, as errors here propagate downstream. Following digitisation, emotion classification uses transformer-based models selected for performance and interpretability (</w:t>
      </w:r>
      <w:r w:rsidR="00AD0029" w:rsidRPr="00AD0029">
        <w:t>Demszky et al., 2020</w:t>
      </w:r>
      <w:r w:rsidRPr="00AB1899">
        <w:t xml:space="preserve">; </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Linguistic pattern extraction identifies recurring keywords, phrasing, and framing strategies </w:t>
      </w:r>
      <w:proofErr w:type="spellStart"/>
      <w:r w:rsidRPr="00AB1899">
        <w:t>signaling</w:t>
      </w:r>
      <w:proofErr w:type="spellEnd"/>
      <w:r w:rsidRPr="00AB1899">
        <w:t xml:space="preserve">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412F30EF"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367677D2" w14:textId="73F6E06C" w:rsidR="007D5BC5" w:rsidRPr="00910E9E" w:rsidRDefault="007D5BC5" w:rsidP="000759D5">
      <w:pPr>
        <w:jc w:val="both"/>
      </w:pPr>
      <w:r w:rsidRPr="007D5BC5">
        <w:t xml:space="preserve">The primary users are students engaging in reflective writing for personal or academic growth, individuals who journal to process emotions, and therapy-adjacent users preparing reflections between sessions. Similar groups have been identified in research on digital mental health and reflective tools (Ben-Zeev et al., 2013; Inkster et al., 2020; </w:t>
      </w:r>
      <w:proofErr w:type="spellStart"/>
      <w:r w:rsidRPr="007D5BC5">
        <w:t>Torous</w:t>
      </w:r>
      <w:proofErr w:type="spellEnd"/>
      <w:r w:rsidRPr="007D5BC5">
        <w:t xml:space="preserve"> et al., 2018). The system serves as an assistive tool, structuring and summarising user content without interpreting intent or offering diagnoses or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0DBEA27D"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AD0029" w:rsidRPr="00AD0029">
        <w:rPr>
          <w:szCs w:val="24"/>
        </w:rPr>
        <w:t>Demszky et al., 2020</w:t>
      </w:r>
      <w:r w:rsidR="004C1784">
        <w:rPr>
          <w:szCs w:val="24"/>
        </w:rPr>
        <w:t xml:space="preserve">; </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lastRenderedPageBreak/>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w:t>
      </w:r>
      <w:r w:rsidRPr="00C15C3B">
        <w:lastRenderedPageBreak/>
        <w:t>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3413C383" w14:textId="23EDACBD" w:rsidR="00B5400C" w:rsidRDefault="00B5400C" w:rsidP="00B5400C">
      <w:pPr>
        <w:jc w:val="both"/>
      </w:pPr>
      <w:r w:rsidRPr="00336836">
        <w:t xml:space="preserve">The use of artificial intelligence in mental-health contexts is not new. DeVault et al. introduced </w:t>
      </w:r>
      <w:proofErr w:type="spellStart"/>
      <w:r w:rsidRPr="00336836">
        <w:t>SimSensei</w:t>
      </w:r>
      <w:proofErr w:type="spellEnd"/>
      <w:r>
        <w:t xml:space="preserve"> </w:t>
      </w:r>
      <w:r w:rsidR="00F75CC2">
        <w:t>(</w:t>
      </w:r>
      <w:r w:rsidR="0003213D" w:rsidRPr="0003213D">
        <w:rPr>
          <w:szCs w:val="24"/>
        </w:rPr>
        <w:t>DeVault et al., 2014</w:t>
      </w:r>
      <w:r w:rsidR="00F75CC2">
        <w:rPr>
          <w:szCs w:val="24"/>
        </w:rPr>
        <w:t>)</w:t>
      </w:r>
      <w:r w:rsidRPr="00336836">
        <w:t xml:space="preserve">, a virtual interviewer </w:t>
      </w:r>
      <w:r w:rsidR="00CE48AF">
        <w:t>(</w:t>
      </w:r>
      <w:r w:rsidR="003518F7">
        <w:t>which is captured</w:t>
      </w:r>
      <w:r w:rsidR="00CE48AF">
        <w:t xml:space="preserve"> in Figure 1) </w:t>
      </w:r>
      <w:r w:rsidRPr="00336836">
        <w:t xml:space="preserve">designed to detect psychological distress from verbal and nonverbal behaviour. Their work demonstrates several key findings relevant to </w:t>
      </w:r>
      <w:proofErr w:type="spellStart"/>
      <w:r w:rsidRPr="00336836">
        <w:t>PsychExtract</w:t>
      </w:r>
      <w:proofErr w:type="spellEnd"/>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Modern NLP often uses transformer-based models, which are deep learning architectures capable of understanding words in context rather than in isolation. These models outperform traditional </w:t>
      </w:r>
      <w:r w:rsidRPr="00E2066F">
        <w:lastRenderedPageBreak/>
        <w:t>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369D5367">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 xml:space="preserve">Because it relies on Sentence-BERT embeddings,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lastRenderedPageBreak/>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07AE069B" w14:textId="47039D2F" w:rsidR="00045F25" w:rsidRPr="00045F25"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proofErr w:type="spellStart"/>
      <w:r w:rsidR="00F76372">
        <w:t>Torous</w:t>
      </w:r>
      <w:proofErr w:type="spellEnd"/>
      <w:r w:rsidR="00F76372">
        <w:t xml:space="preserve"> et al., 2018</w:t>
      </w:r>
      <w:r w:rsidRPr="005015B2">
        <w:t>).</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Pr="000A31B8">
        <w:t>EasyOCR</w:t>
      </w:r>
      <w:proofErr w:type="spellEnd"/>
      <w:r w:rsidRPr="000A31B8">
        <w:t xml:space="preserve"> employs deep learning architectures that are more robust to noisy inputs and variable handwriting styles (</w:t>
      </w:r>
      <w:proofErr w:type="spellStart"/>
      <w:r w:rsidRPr="000A31B8">
        <w:t>JaidedAI</w:t>
      </w:r>
      <w:proofErr w:type="spellEnd"/>
      <w:r w:rsidRPr="000A31B8">
        <w:t>,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t>Emotion Classification</w:t>
      </w:r>
      <w:bookmarkEnd w:id="43"/>
      <w:bookmarkEnd w:id="44"/>
      <w:bookmarkEnd w:id="45"/>
    </w:p>
    <w:p w14:paraId="72DF4EFE" w14:textId="554291D1"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xml:space="preserve">). </w:t>
      </w:r>
      <w:proofErr w:type="spellStart"/>
      <w:r w:rsidRPr="00BF238B">
        <w:rPr>
          <w:szCs w:val="24"/>
        </w:rPr>
        <w:t>PsychExtract</w:t>
      </w:r>
      <w:proofErr w:type="spellEnd"/>
      <w:r w:rsidRPr="00BF238B">
        <w:rPr>
          <w:szCs w:val="24"/>
        </w:rPr>
        <w:t xml:space="preserve"> employs pre-trained transformer-</w:t>
      </w:r>
      <w:r w:rsidRPr="00BF238B">
        <w:rPr>
          <w:szCs w:val="24"/>
        </w:rPr>
        <w:lastRenderedPageBreak/>
        <w:t xml:space="preserve">based models fine-tuned for multi-label emotion classification using the </w:t>
      </w:r>
      <w:proofErr w:type="spellStart"/>
      <w:r w:rsidRPr="00BF238B">
        <w:rPr>
          <w:szCs w:val="24"/>
        </w:rPr>
        <w:t>GoEmotions</w:t>
      </w:r>
      <w:proofErr w:type="spellEnd"/>
      <w:r w:rsidRPr="00BF238B">
        <w:rPr>
          <w:szCs w:val="24"/>
        </w:rPr>
        <w:t xml:space="preserve"> dataset (</w:t>
      </w:r>
      <w:r w:rsidR="00AD0029" w:rsidRPr="00AD0029">
        <w:rPr>
          <w:szCs w:val="24"/>
        </w:rPr>
        <w:t>Demszky et al., 2020</w:t>
      </w:r>
      <w:r w:rsidRPr="00BF238B">
        <w:rPr>
          <w:szCs w:val="24"/>
        </w:rPr>
        <w:t>).</w:t>
      </w:r>
    </w:p>
    <w:p w14:paraId="7BE66B1E" w14:textId="3B4A0C41" w:rsidR="00BF238B"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xml:space="preserve">), making it suitable for resource-constrained environments. </w:t>
      </w:r>
      <w:proofErr w:type="spellStart"/>
      <w:r w:rsidRPr="00BF238B">
        <w:rPr>
          <w:szCs w:val="24"/>
        </w:rPr>
        <w:t>RoBERTa</w:t>
      </w:r>
      <w:proofErr w:type="spellEnd"/>
      <w:r w:rsidRPr="00BF238B">
        <w:rPr>
          <w:szCs w:val="24"/>
        </w:rPr>
        <w:t>,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63C0146F" w14:textId="6F2EE69E" w:rsidR="00A165F0" w:rsidRDefault="00A165F0" w:rsidP="00476CC6">
      <w:pPr>
        <w:jc w:val="both"/>
        <w:rPr>
          <w:szCs w:val="24"/>
        </w:rPr>
      </w:pPr>
      <w:r w:rsidRPr="00A165F0">
        <w:rPr>
          <w:szCs w:val="24"/>
        </w:rPr>
        <w:t>Two TTS approaches are considered: neural synthesis via Coqui TTS, which offers high-quality speech generation (Coqui.ai, 2025), and pyttsx3, which provides a lightweight offline alternative suitable for constrained environments (</w:t>
      </w:r>
      <w:r w:rsidR="006C2AFF" w:rsidRPr="006C2AFF">
        <w:rPr>
          <w:szCs w:val="24"/>
        </w:rPr>
        <w:t>pyttsx3.readthedocs.io, 2025</w:t>
      </w:r>
      <w:r w:rsidRPr="00A165F0">
        <w:rPr>
          <w:szCs w:val="24"/>
        </w:rPr>
        <w:t>). The UI at this stage remains deliberately minimal, prioritising clarity, editability, and progressive disclosure of information over visual richness.</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t xml:space="preserve">Architecture and </w:t>
      </w:r>
      <w:bookmarkEnd w:id="51"/>
      <w:bookmarkEnd w:id="52"/>
      <w:r w:rsidR="00E307F5">
        <w:t>Data Flow</w:t>
      </w:r>
      <w:bookmarkEnd w:id="53"/>
    </w:p>
    <w:p w14:paraId="0E3EDB13" w14:textId="65DCCABE"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xml:space="preserve">; </w:t>
      </w:r>
      <w:proofErr w:type="spellStart"/>
      <w:r w:rsidR="00F02346" w:rsidRPr="00F02346">
        <w:rPr>
          <w:szCs w:val="24"/>
        </w:rPr>
        <w:t>JaidedAI</w:t>
      </w:r>
      <w:proofErr w:type="spellEnd"/>
      <w:r w:rsidR="00F02346" w:rsidRPr="00F02346">
        <w:rPr>
          <w:szCs w:val="24"/>
        </w:rPr>
        <w:t>, 2024).</w:t>
      </w:r>
    </w:p>
    <w:p w14:paraId="3FEC6027" w14:textId="0CFE25FD"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AD0029" w:rsidRPr="00AD0029">
        <w:rPr>
          <w:szCs w:val="24"/>
        </w:rPr>
        <w:t>Demszky et al., 2020</w:t>
      </w:r>
      <w:r w:rsidRPr="00F02346">
        <w:rPr>
          <w:szCs w:val="24"/>
        </w:rPr>
        <w:t xml:space="preserve">;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53193D7C"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w:t>
      </w:r>
      <w:r w:rsidR="001E1545" w:rsidRPr="001E1545">
        <w:t>Devlin et al., 2019</w:t>
      </w:r>
      <w:r w:rsidRPr="00AD508F">
        <w:t>).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610C797B">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43E5C100" w14:textId="275B0C02" w:rsidR="00FF6BDD" w:rsidRDefault="00FF6BDD" w:rsidP="00451CDC">
      <w:pPr>
        <w:jc w:val="both"/>
      </w:pPr>
      <w:r w:rsidRPr="00FF6BDD">
        <w:t xml:space="preserve">OCR subsystem pipeline (illustrated in Figure </w:t>
      </w:r>
      <w:r w:rsidR="00EE3A66">
        <w:t>12 above</w:t>
      </w:r>
      <w:r w:rsidRPr="00FF6BDD">
        <w:t xml:space="preserve">) implements a feasibility-oriented handwritten text recognition pipeline, combining classical and modern OCR approaches. The subsystem processes standardised input samples (see Figure </w:t>
      </w:r>
      <w:r w:rsidR="00EE3A66">
        <w:t>13</w:t>
      </w:r>
      <w:r w:rsidRPr="00FF6BDD">
        <w:t>), ensuring reproducible evaluation across all engines. Primary recognition engines include the rule-based baseline Tesseract OCR (</w:t>
      </w:r>
      <w:r w:rsidR="00232AD4" w:rsidRPr="00232AD4">
        <w:t>Patel et al., 2012</w:t>
      </w:r>
      <w:r w:rsidR="00232AD4">
        <w:t xml:space="preserve">; </w:t>
      </w:r>
      <w:r w:rsidR="00C0602E" w:rsidRPr="00C0602E">
        <w:t>Smith, 2007</w:t>
      </w:r>
      <w:r w:rsidRPr="00FF6BDD">
        <w:t xml:space="preserve">), the deep learning-based </w:t>
      </w:r>
      <w:proofErr w:type="spellStart"/>
      <w:r w:rsidRPr="00FF6BDD">
        <w:t>EasyOCR</w:t>
      </w:r>
      <w:proofErr w:type="spellEnd"/>
      <w:r w:rsidRPr="00FF6BDD">
        <w:t xml:space="preserve"> CNN–RNN architecture (</w:t>
      </w:r>
      <w:proofErr w:type="spellStart"/>
      <w:r w:rsidRPr="00FF6BDD">
        <w:t>JaidedAI</w:t>
      </w:r>
      <w:proofErr w:type="spellEnd"/>
      <w:r w:rsidRPr="00FF6BDD">
        <w:t xml:space="preserve">, 2024), and additional exploratory models designed to address the baseline’s character accuracy limitations: </w:t>
      </w:r>
      <w:proofErr w:type="spellStart"/>
      <w:r w:rsidRPr="00FF6BDD">
        <w:t>PaddleOCR</w:t>
      </w:r>
      <w:proofErr w:type="spellEnd"/>
      <w:r w:rsidRPr="00FF6BDD">
        <w:t xml:space="preserve"> (</w:t>
      </w:r>
      <w:r w:rsidR="00B91B88" w:rsidRPr="00B91B88">
        <w:t>Cui et al., 2025</w:t>
      </w:r>
      <w:r w:rsidRPr="00FF6BDD">
        <w:t xml:space="preserve">), </w:t>
      </w:r>
      <w:proofErr w:type="spellStart"/>
      <w:r w:rsidRPr="00FF6BDD">
        <w:t>TrOCR</w:t>
      </w:r>
      <w:proofErr w:type="spellEnd"/>
      <w:r w:rsidRPr="00FF6BDD">
        <w:t xml:space="preserve"> (Li et al., 2021), and Qwen-VL 2.5 (</w:t>
      </w:r>
      <w:r w:rsidR="00880540" w:rsidRPr="00880540">
        <w:t xml:space="preserve">Bai </w:t>
      </w:r>
      <w:r w:rsidR="00880540" w:rsidRPr="00880540">
        <w:lastRenderedPageBreak/>
        <w:t>et al., 2024</w:t>
      </w:r>
      <w:r w:rsidRPr="00FF6BDD">
        <w:t>)</w:t>
      </w:r>
      <w:r w:rsidR="004C7C07">
        <w:t xml:space="preserve">, </w:t>
      </w:r>
      <w:r w:rsidR="004C7C07" w:rsidRPr="004C7C07">
        <w:t>a vision-language model with advanced text-reading capabilities, used to explore potential improvements over baseline OCR accuracy</w:t>
      </w:r>
      <w:r w:rsidRPr="00FF6BDD">
        <w:t>.</w:t>
      </w:r>
    </w:p>
    <w:p w14:paraId="76B11303" w14:textId="0E75AB49" w:rsidR="00A6021A" w:rsidRPr="006F75CF" w:rsidRDefault="00EE3A66" w:rsidP="006F75CF">
      <w:pPr>
        <w:jc w:val="center"/>
        <w:rPr>
          <w:i/>
          <w:iCs/>
          <w:color w:val="404040" w:themeColor="text1" w:themeTint="BF"/>
        </w:rPr>
      </w:pPr>
      <w:r>
        <w:rPr>
          <w:noProof/>
        </w:rPr>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lastRenderedPageBreak/>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xml:space="preserve">) and has been adopted in OCR-specific architectures such as </w:t>
      </w:r>
      <w:proofErr w:type="spellStart"/>
      <w:r w:rsidRPr="001D5A0E">
        <w:t>TrOCR</w:t>
      </w:r>
      <w:proofErr w:type="spellEnd"/>
      <w:r w:rsidRPr="001D5A0E">
        <w:t xml:space="preserve">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lastRenderedPageBreak/>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Pr="00DA457E">
        <w:t>RoBERTa</w:t>
      </w:r>
      <w:proofErr w:type="spellEnd"/>
      <w:r w:rsidRPr="00DA457E">
        <w:t xml:space="preserve"> offers enhanced representational capacity through robust pretraining strategies (</w:t>
      </w:r>
      <w:r w:rsidR="000B348A" w:rsidRPr="000B348A">
        <w:rPr>
          <w:szCs w:val="24"/>
        </w:rPr>
        <w:t>Liu et al., 2019</w:t>
      </w:r>
      <w:r w:rsidRPr="00DA457E">
        <w:t>).</w:t>
      </w:r>
    </w:p>
    <w:p w14:paraId="7972E8F2" w14:textId="5406FEB7" w:rsidR="00DC4A77" w:rsidRPr="00DC4A77" w:rsidRDefault="00DC4A77" w:rsidP="00DC4A77">
      <w:pPr>
        <w:jc w:val="both"/>
      </w:pPr>
      <w:r w:rsidRPr="00DC4A77">
        <w:t xml:space="preserve">Specifically, the project uses the pretrained model </w:t>
      </w:r>
      <w:proofErr w:type="spellStart"/>
      <w:r w:rsidRPr="00DC4A77">
        <w:t>bhadresh-savani</w:t>
      </w:r>
      <w:proofErr w:type="spellEnd"/>
      <w:r w:rsidRPr="00DC4A77">
        <w:t>/</w:t>
      </w:r>
      <w:proofErr w:type="spellStart"/>
      <w:r w:rsidRPr="00DC4A77">
        <w:t>distilbert</w:t>
      </w:r>
      <w:proofErr w:type="spellEnd"/>
      <w:r w:rsidRPr="00DC4A77">
        <w:t>-base-uncased-emotion (</w:t>
      </w:r>
      <w:r w:rsidRPr="00DC4A77">
        <w:rPr>
          <w:rFonts w:cs="Helvetica"/>
          <w:color w:val="000000"/>
          <w:szCs w:val="24"/>
        </w:rPr>
        <w:t>Bhadresh Savani</w:t>
      </w:r>
      <w:r w:rsidRPr="00DC4A77">
        <w:t xml:space="preserve">, 2022), a </w:t>
      </w:r>
      <w:proofErr w:type="spellStart"/>
      <w:r w:rsidRPr="00DC4A77">
        <w:t>DistilBERT</w:t>
      </w:r>
      <w:proofErr w:type="spellEnd"/>
      <w:r w:rsidRPr="00DC4A77">
        <w:t xml:space="preserve"> model fine-tuned on a subset of the </w:t>
      </w:r>
      <w:proofErr w:type="spellStart"/>
      <w:r w:rsidRPr="00DC4A77">
        <w:t>GoEmotions</w:t>
      </w:r>
      <w:proofErr w:type="spellEnd"/>
      <w:r w:rsidRPr="00DC4A77">
        <w:t xml:space="preserve"> dataset (Demszky et al., 2020), with emotion labels aggregated to align with the project’s six-emotion framework.</w:t>
      </w:r>
    </w:p>
    <w:p w14:paraId="1E1E0955" w14:textId="4B403660" w:rsidR="000E6880" w:rsidRDefault="00DA457E" w:rsidP="00DA457E">
      <w:pPr>
        <w:jc w:val="both"/>
      </w:pPr>
      <w:proofErr w:type="spellStart"/>
      <w:r w:rsidRPr="00DA457E">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 xml:space="preserve">To balance computational efficiency and reproducibility, the emotion analysis module executes inference in batches. A typical batch size of 16 was chosen to leverage GPU parallelism without </w:t>
      </w:r>
      <w:r w:rsidRPr="00521D9F">
        <w:lastRenderedPageBreak/>
        <w:t>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000000"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w:lastRenderedPageBreak/>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000000"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000000"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61B6C3B6" w14:textId="71E1200C" w:rsidR="00200A97" w:rsidRPr="001D5D96" w:rsidRDefault="00200A97" w:rsidP="00200A97">
      <w:pPr>
        <w:jc w:val="both"/>
      </w:pPr>
      <w:proofErr w:type="spellStart"/>
      <w:r w:rsidRPr="00200A97">
        <w:t>PsychExtract</w:t>
      </w:r>
      <w:proofErr w:type="spellEnd"/>
      <w:r w:rsidRPr="00200A97">
        <w:t xml:space="preserve"> complements emotion classification with interpretable keyword signals extracted from reflective text. The system emphasises traceable, surface-level linguistic features rather than latent topic modelling, prioritising transparency and semantic legibility to support user-led inspection of reflective content, drawing on interpretable machine learning principles (Angelov &amp; Soares, 2021) and linguistically grounded </w:t>
      </w:r>
      <w:proofErr w:type="spellStart"/>
      <w:r w:rsidRPr="00200A97">
        <w:t>subword</w:t>
      </w:r>
      <w:proofErr w:type="spellEnd"/>
      <w:r w:rsidRPr="00200A97">
        <w:t xml:space="preserve"> representations (Bojanowski et al., 2017).</w:t>
      </w:r>
    </w:p>
    <w:p w14:paraId="42EF01C7" w14:textId="77777777" w:rsidR="00232E07" w:rsidRPr="00585782" w:rsidRDefault="00232E07" w:rsidP="00232E07">
      <w:pPr>
        <w:jc w:val="both"/>
      </w:pPr>
      <w:r w:rsidRPr="00E0307F">
        <w:t xml:space="preserve">Keyword extraction is performed using two complementary unsupervised methods. </w:t>
      </w:r>
      <w:proofErr w:type="spellStart"/>
      <w:r w:rsidRPr="00E0307F">
        <w:t>KeyBERT</w:t>
      </w:r>
      <w:proofErr w:type="spellEnd"/>
      <w:r w:rsidRPr="00E0307F">
        <w:t xml:space="preserve"> employs contextual embeddings to identify semantically important terms</w:t>
      </w:r>
      <w:r>
        <w:t xml:space="preserve"> </w:t>
      </w:r>
      <w:r w:rsidRPr="00585782">
        <w:t>to rank unigrams and bigrams by cosine similarity to the document embedding (Grootendorst, 2025</w:t>
      </w:r>
      <w:r>
        <w:t xml:space="preserve">; </w:t>
      </w:r>
      <w:r w:rsidRPr="00585782">
        <w:t xml:space="preserve">Reimers &amp; </w:t>
      </w:r>
      <w:proofErr w:type="spellStart"/>
      <w:r w:rsidRPr="00585782">
        <w:t>Gurevych</w:t>
      </w:r>
      <w:proofErr w:type="spellEnd"/>
      <w:r w:rsidRPr="00585782">
        <w:t>, 2019)</w:t>
      </w:r>
      <w:r w:rsidRPr="00E0307F">
        <w:t xml:space="preserve">, while YAKE uses statistical and positional features from individual documents to rank candidate keywords without relying on external corpora or training data (Campos et al., 2020; Grootendorst, 2025). This </w:t>
      </w:r>
      <w:r>
        <w:t>comparison contrasts</w:t>
      </w:r>
      <w:r w:rsidRPr="00E0307F">
        <w:t xml:space="preserve"> both conceptually dense and lexically relevant keywords.</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682788DA" w:rsidR="00A541EF" w:rsidRPr="00A541EF" w:rsidRDefault="00A541EF" w:rsidP="00A541EF">
      <w:pPr>
        <w:jc w:val="both"/>
      </w:pPr>
      <w:proofErr w:type="spellStart"/>
      <w:r w:rsidRPr="00A541EF">
        <w:t>KeyBERT</w:t>
      </w:r>
      <w:proofErr w:type="spellEnd"/>
      <w:r w:rsidRPr="00A541EF">
        <w:t xml:space="preserve"> and YAKE outputs are processed to remove </w:t>
      </w:r>
      <w:proofErr w:type="spellStart"/>
      <w:r w:rsidRPr="00A541EF">
        <w:t>stopwords</w:t>
      </w:r>
      <w:proofErr w:type="spellEnd"/>
      <w:r w:rsidRPr="00A541EF">
        <w:t xml:space="preserve"> and truncated to the top-ranked candidates. To ensure linguistic validity, phrases are filtered via </w:t>
      </w:r>
      <w:proofErr w:type="spellStart"/>
      <w:r w:rsidRPr="00A541EF">
        <w:t>spaCy’s</w:t>
      </w:r>
      <w:proofErr w:type="spellEnd"/>
      <w:r w:rsidRPr="00A541EF">
        <w:t xml:space="preserve"> POS tagging and dependency parsing (</w:t>
      </w:r>
      <w:proofErr w:type="spellStart"/>
      <w:r w:rsidR="00001427" w:rsidRPr="00001427">
        <w:t>Honnibal</w:t>
      </w:r>
      <w:proofErr w:type="spellEnd"/>
      <w:r w:rsidR="00001427" w:rsidRPr="00001427">
        <w:t xml:space="preserve">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3C9FE64D" w14:textId="2C941970" w:rsidR="00425D1E" w:rsidRPr="00226713" w:rsidRDefault="00425D1E" w:rsidP="00226713">
      <w:pPr>
        <w:jc w:val="both"/>
      </w:pPr>
      <w:proofErr w:type="spellStart"/>
      <w:r w:rsidRPr="00425D1E">
        <w:t>PsychExtract</w:t>
      </w:r>
      <w:proofErr w:type="spellEnd"/>
      <w:r w:rsidRPr="00425D1E">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lexical patterns, with linguistic representations derived from surface-level </w:t>
      </w:r>
      <w:proofErr w:type="spellStart"/>
      <w:r w:rsidRPr="00425D1E">
        <w:t>subword</w:t>
      </w:r>
      <w:proofErr w:type="spellEnd"/>
      <w:r w:rsidRPr="00425D1E">
        <w:t xml:space="preserve"> information (Bojanowski et al., 2017).</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000000"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000000"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8">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9">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52D41D6F" w14:textId="5EE6015D" w:rsidR="00210652" w:rsidRPr="00210652" w:rsidRDefault="00210652" w:rsidP="00BF125B">
      <w:pPr>
        <w:jc w:val="both"/>
      </w:pPr>
      <w:r w:rsidRPr="00210652">
        <w:t xml:space="preserve">To inform the design and evaluation of </w:t>
      </w:r>
      <w:proofErr w:type="spellStart"/>
      <w:r w:rsidRPr="00210652">
        <w:t>PsychExtract</w:t>
      </w:r>
      <w:proofErr w:type="spellEnd"/>
      <w:r w:rsidRPr="00210652">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 xml:space="preserve">Overall, this preliminary user discovery demonstrates early support for </w:t>
      </w:r>
      <w:proofErr w:type="spellStart"/>
      <w:r w:rsidRPr="00463369">
        <w:t>PsychExtract’s</w:t>
      </w:r>
      <w:proofErr w:type="spellEnd"/>
      <w:r w:rsidRPr="00463369">
        <w:t xml:space="preserve">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BE7EB9">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7D24E48A" w:rsidR="00C1441B" w:rsidRPr="00C1441B" w:rsidRDefault="003A1B40" w:rsidP="00380391">
      <w:pPr>
        <w:jc w:val="both"/>
      </w:pPr>
      <w:r w:rsidRPr="003A1B40">
        <w:t>Consistent with human-AI interaction guidelines (</w:t>
      </w:r>
      <w:proofErr w:type="spellStart"/>
      <w:r w:rsidRPr="003A1B40">
        <w:t>Amershi</w:t>
      </w:r>
      <w:proofErr w:type="spellEnd"/>
      <w:r w:rsidRPr="003A1B40">
        <w:t xml:space="preserve"> et al., 2019), human oversight remains critical: </w:t>
      </w:r>
      <w:proofErr w:type="spellStart"/>
      <w:r w:rsidRPr="003A1B40">
        <w:t>PsychExtract</w:t>
      </w:r>
      <w:proofErr w:type="spellEnd"/>
      <w:r w:rsidRPr="003A1B40">
        <w:t xml:space="preserve">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162BE759"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were assessed under zero-shot inference conditions, reflecting realistic constraints for early-stage system integration and avoiding fine-tuning biases (</w:t>
      </w:r>
      <w:r w:rsidR="00AD0029" w:rsidRPr="00AD0029">
        <w:t>Demszky et al., 2020</w:t>
      </w:r>
      <w:r w:rsidRPr="00645F7D">
        <w:t xml:space="preserve">; </w:t>
      </w:r>
      <w:r w:rsidR="001E1545" w:rsidRPr="001E1545">
        <w:t>Devlin et al., 2019</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000000"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5913EB1C" w:rsidR="001F7EAA" w:rsidRPr="001F7EAA" w:rsidRDefault="00F75560" w:rsidP="00DE0746">
      <w:pPr>
        <w:jc w:val="both"/>
      </w:pPr>
      <w:r w:rsidRPr="001F7EAA">
        <w:t>Macro F1 prioritises balanced performance across frequent and rare emotions, crucial for reflective journals where ambiguous affective content is common (</w:t>
      </w:r>
      <w:r w:rsidR="00AD0029" w:rsidRPr="00AD0029">
        <w:t>Demszky et al., 2020</w:t>
      </w:r>
      <w:r w:rsidRPr="001F7EAA">
        <w:t>). 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000000"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000000"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6D99DAFF"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xml:space="preserve">≈ 0.97). This variability reflects </w:t>
      </w:r>
      <w:proofErr w:type="spellStart"/>
      <w:r w:rsidRPr="00B017E4">
        <w:t>RoBERTa’s</w:t>
      </w:r>
      <w:proofErr w:type="spellEnd"/>
      <w:r w:rsidRPr="00B017E4">
        <w:t xml:space="preserve"> capacity for more contextually grounded and selective emotion detection, consistent with user-</w:t>
      </w:r>
      <w:proofErr w:type="spellStart"/>
      <w:r w:rsidRPr="00B017E4">
        <w:t>centered</w:t>
      </w:r>
      <w:proofErr w:type="spellEnd"/>
      <w:r w:rsidRPr="00B017E4">
        <w:t xml:space="preserve">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6AE16DCC" w14:textId="06C8E47D" w:rsidR="00B84B0B" w:rsidRPr="000E4335" w:rsidRDefault="00B84B0B" w:rsidP="001F348B">
      <w:pPr>
        <w:jc w:val="both"/>
      </w:pPr>
      <w:r w:rsidRPr="00B84B0B">
        <w:t>Aligned with human-AI design principles emphasizing transparency and interpretability (</w:t>
      </w:r>
      <w:proofErr w:type="spellStart"/>
      <w:r w:rsidRPr="00B84B0B">
        <w:t>Amershi</w:t>
      </w:r>
      <w:proofErr w:type="spellEnd"/>
      <w:r w:rsidRPr="00B84B0B">
        <w:t xml:space="preserve"> et al., 2019), users preferred </w:t>
      </w:r>
      <w:proofErr w:type="spellStart"/>
      <w:r w:rsidRPr="00B84B0B">
        <w:t>RoBERTa</w:t>
      </w:r>
      <w:proofErr w:type="spellEnd"/>
      <w:r w:rsidRPr="00B84B0B">
        <w:t xml:space="preserve"> for its clear, proportionate outputs, while </w:t>
      </w:r>
      <w:proofErr w:type="spellStart"/>
      <w:r w:rsidRPr="00B84B0B">
        <w:t>DistilBERT’s</w:t>
      </w:r>
      <w:proofErr w:type="spellEnd"/>
      <w:r w:rsidRPr="00B84B0B">
        <w:t xml:space="preserve"> more expansive summaries occasionally caused overwhelm. Trust remained high when emotional labels were transparent and contextually grounded, even in cases of misclassification, reflecting users’ awareness of the inherent uncertainty in emotional language (Mohammad, 2018).</w:t>
      </w:r>
    </w:p>
    <w:p w14:paraId="40F9B2E3" w14:textId="05503106" w:rsidR="00645F7D" w:rsidRPr="00645F7D" w:rsidRDefault="00645F7D" w:rsidP="00645F7D">
      <w:pPr>
        <w:pStyle w:val="Heading3"/>
        <w:numPr>
          <w:ilvl w:val="0"/>
          <w:numId w:val="0"/>
        </w:numPr>
      </w:pPr>
      <w:bookmarkStart w:id="100" w:name="_Toc221377176"/>
      <w:r w:rsidRPr="00645F7D">
        <w:t xml:space="preserve">Integration Implications for </w:t>
      </w:r>
      <w:proofErr w:type="spellStart"/>
      <w:r w:rsidRPr="00645F7D">
        <w:t>PsychExtract</w:t>
      </w:r>
      <w:bookmarkEnd w:id="100"/>
      <w:proofErr w:type="spellEnd"/>
    </w:p>
    <w:p w14:paraId="465075DF" w14:textId="0F954BDC"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AD0029" w:rsidRPr="00AD0029">
        <w:t>Demszky et al., 2020</w:t>
      </w:r>
      <w:r w:rsidRPr="00673EC6">
        <w:t xml:space="preserve">; </w:t>
      </w:r>
      <w:r w:rsidR="001E1545" w:rsidRPr="001E1545">
        <w:t>Devlin et al., 2019</w:t>
      </w:r>
      <w:r w:rsidRPr="00673EC6">
        <w:t xml:space="preserve">; </w:t>
      </w:r>
      <w:r w:rsidR="006821BB" w:rsidRPr="006821BB">
        <w:t>Doshi-Velez &amp; Kim, 2017</w:t>
      </w:r>
      <w:r w:rsidRPr="00673EC6">
        <w:t>).</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776A51F3"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000000"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appreciated for highlighting psychologically salient cues, even when outputs were less fluid </w:t>
      </w:r>
      <w:r w:rsidRPr="00D03BC0">
        <w:lastRenderedPageBreak/>
        <w:t>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2C395079" w:rsidR="00B92283" w:rsidRPr="00AD635C" w:rsidRDefault="00B92283" w:rsidP="00C42395">
      <w:pPr>
        <w:jc w:val="both"/>
      </w:pPr>
      <w:r w:rsidRPr="00B92283">
        <w:t>Consistent with human-</w:t>
      </w:r>
      <w:proofErr w:type="spellStart"/>
      <w:r w:rsidRPr="00B92283">
        <w:t>centered</w:t>
      </w:r>
      <w:proofErr w:type="spellEnd"/>
      <w:r w:rsidRPr="00B92283">
        <w:t xml:space="preserve"> AI guidelines (</w:t>
      </w:r>
      <w:proofErr w:type="spellStart"/>
      <w:r w:rsidRPr="00B92283">
        <w:t>Amershi</w:t>
      </w:r>
      <w:proofErr w:type="spellEnd"/>
      <w:r w:rsidRPr="00B92283">
        <w:t xml:space="preserve">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 (Doshi-Velez &amp; Kim, 2017).</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605861C8" w14:textId="5CF3B00A" w:rsidR="006F17AB" w:rsidRPr="00796488" w:rsidRDefault="008E20DB" w:rsidP="00C42395">
      <w:pPr>
        <w:jc w:val="both"/>
      </w:pPr>
      <w:r w:rsidRPr="00796488">
        <w:t xml:space="preserve">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w:t>
      </w:r>
      <w:r w:rsidR="00795EAB" w:rsidRPr="00795EAB">
        <w:t xml:space="preserve">designed to support reflective inquiry and interpretation rather than clinical or diagnostic judgment </w:t>
      </w:r>
      <w:r w:rsidRPr="00796488">
        <w:t>(</w:t>
      </w:r>
      <w:r w:rsidR="001A6CEE" w:rsidRPr="001A6CEE">
        <w:t>Baumer, 2015</w:t>
      </w:r>
      <w:r w:rsidRPr="00796488">
        <w:t xml:space="preserve">; </w:t>
      </w:r>
      <w:r w:rsidR="00E65AED" w:rsidRPr="00E65AED">
        <w:t>Calvo &amp; Peters, 2017</w:t>
      </w:r>
      <w:r w:rsidRPr="00796488">
        <w:t>).</w:t>
      </w: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000000"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000000"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1823"/>
        <w:tblW w:w="0" w:type="auto"/>
        <w:tblLook w:val="04A0" w:firstRow="1" w:lastRow="0" w:firstColumn="1" w:lastColumn="0" w:noHBand="0" w:noVBand="1"/>
      </w:tblPr>
      <w:tblGrid>
        <w:gridCol w:w="1767"/>
        <w:gridCol w:w="3331"/>
      </w:tblGrid>
      <w:tr w:rsidR="00FF08E4" w:rsidRPr="00AD635C" w14:paraId="73B6B28F" w14:textId="77777777" w:rsidTr="009402AD">
        <w:tc>
          <w:tcPr>
            <w:tcW w:w="0" w:type="auto"/>
            <w:hideMark/>
          </w:tcPr>
          <w:p w14:paraId="3464D732" w14:textId="77777777" w:rsidR="00FF08E4" w:rsidRPr="00AD635C" w:rsidRDefault="00FF08E4" w:rsidP="009402AD">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9402AD">
            <w:pPr>
              <w:spacing w:after="160" w:line="259" w:lineRule="auto"/>
              <w:rPr>
                <w:b/>
                <w:bCs/>
              </w:rPr>
            </w:pPr>
            <w:r w:rsidRPr="00AD635C">
              <w:rPr>
                <w:b/>
                <w:bCs/>
              </w:rPr>
              <w:t>Wording Perception</w:t>
            </w:r>
          </w:p>
        </w:tc>
      </w:tr>
      <w:tr w:rsidR="00FF08E4" w:rsidRPr="00AD635C" w14:paraId="4C5E5089" w14:textId="77777777" w:rsidTr="009402AD">
        <w:tc>
          <w:tcPr>
            <w:tcW w:w="0" w:type="auto"/>
            <w:hideMark/>
          </w:tcPr>
          <w:p w14:paraId="42ED202B" w14:textId="77777777" w:rsidR="00FF08E4" w:rsidRPr="00AD635C" w:rsidRDefault="00FF08E4" w:rsidP="009402AD">
            <w:pPr>
              <w:spacing w:after="160" w:line="259" w:lineRule="auto"/>
            </w:pPr>
            <w:r w:rsidRPr="00AD635C">
              <w:t>Extract 1</w:t>
            </w:r>
          </w:p>
        </w:tc>
        <w:tc>
          <w:tcPr>
            <w:tcW w:w="0" w:type="auto"/>
            <w:hideMark/>
          </w:tcPr>
          <w:p w14:paraId="1DF7F427" w14:textId="77777777" w:rsidR="00FF08E4" w:rsidRPr="00AD635C" w:rsidRDefault="00FF08E4" w:rsidP="009402AD">
            <w:pPr>
              <w:spacing w:after="160" w:line="259" w:lineRule="auto"/>
            </w:pPr>
            <w:r w:rsidRPr="00AD635C">
              <w:t>Appropriate; occasionally Clinical</w:t>
            </w:r>
          </w:p>
        </w:tc>
      </w:tr>
      <w:tr w:rsidR="00FF08E4" w:rsidRPr="00AD635C" w14:paraId="12199AD7" w14:textId="77777777" w:rsidTr="009402AD">
        <w:tc>
          <w:tcPr>
            <w:tcW w:w="0" w:type="auto"/>
            <w:hideMark/>
          </w:tcPr>
          <w:p w14:paraId="594485D7" w14:textId="77777777" w:rsidR="00FF08E4" w:rsidRPr="00AD635C" w:rsidRDefault="00FF08E4" w:rsidP="009402AD">
            <w:pPr>
              <w:spacing w:after="160" w:line="259" w:lineRule="auto"/>
            </w:pPr>
            <w:r w:rsidRPr="00AD635C">
              <w:t>Extract 2</w:t>
            </w:r>
          </w:p>
        </w:tc>
        <w:tc>
          <w:tcPr>
            <w:tcW w:w="0" w:type="auto"/>
            <w:hideMark/>
          </w:tcPr>
          <w:p w14:paraId="34CF5C6D" w14:textId="77777777" w:rsidR="00FF08E4" w:rsidRPr="00AD635C" w:rsidRDefault="00FF08E4" w:rsidP="009402AD">
            <w:pPr>
              <w:spacing w:after="160" w:line="259" w:lineRule="auto"/>
            </w:pPr>
            <w:r w:rsidRPr="00AD635C">
              <w:t>Appropriate; Clinical</w:t>
            </w:r>
          </w:p>
        </w:tc>
      </w:tr>
    </w:tbl>
    <w:p w14:paraId="50FB31C9" w14:textId="37EAEA62" w:rsidR="009402AD" w:rsidRDefault="009402AD" w:rsidP="006B3C81">
      <w:pPr>
        <w:jc w:val="both"/>
      </w:pPr>
      <w:r w:rsidRPr="009402AD">
        <w:t>Reflecting human-AI design principles prioritizing interpretability and user engagement (</w:t>
      </w:r>
      <w:proofErr w:type="spellStart"/>
      <w:r w:rsidRPr="009402AD">
        <w:t>Amershi</w:t>
      </w:r>
      <w:proofErr w:type="spellEnd"/>
      <w:r w:rsidRPr="009402AD">
        <w:t xml:space="preserve"> et al., 2019), qualitative feedback </w:t>
      </w:r>
      <w:r w:rsidR="00B341A9">
        <w:t>(displayed in Table 10)</w:t>
      </w:r>
      <w:r w:rsidR="00B341A9" w:rsidRPr="009402AD">
        <w:t xml:space="preserve">. </w:t>
      </w:r>
      <w:r w:rsidRPr="009402AD">
        <w:t>indicated that templates were generally clear and contextually relevant</w:t>
      </w:r>
      <w:r w:rsidR="00B341A9">
        <w:t xml:space="preserve"> </w:t>
      </w:r>
      <w:r w:rsidRPr="009402AD">
        <w:t>Occasional clinical tone or verbosity caused minor interpretive friction, which did not diminish reflective utility; in some cases, it encouraged participants to critically engage with their writing, prompting comparison, acceptance, or reinterpretation of insights in light of their own experience (Calvo &amp; Peters, 2017).</w:t>
      </w: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provide interpretable insights without asserting authority, aligning with </w:t>
      </w:r>
      <w:proofErr w:type="spellStart"/>
      <w:r w:rsidRPr="00AD635C">
        <w:t>PsychExtract’s</w:t>
      </w:r>
      <w:proofErr w:type="spellEnd"/>
      <w:r w:rsidRPr="00AD635C">
        <w:t xml:space="preserve"> assistive, </w:t>
      </w:r>
      <w:r w:rsidRPr="00AD635C">
        <w:lastRenderedPageBreak/>
        <w:t>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751D4E">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751D4E">
      <w:pPr>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751D4E">
      <w:pPr>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2940DA9A" w:rsidR="00751D4E" w:rsidRDefault="00751D4E" w:rsidP="00751D4E">
      <w:r w:rsidRPr="00001427">
        <w:rPr>
          <w:rFonts w:cs="Helvetica"/>
          <w:color w:val="000000"/>
          <w:szCs w:val="24"/>
        </w:rPr>
        <w:t xml:space="preserve">Gulliksen, J., Göransson, B., </w:t>
      </w:r>
      <w:proofErr w:type="spellStart"/>
      <w:r w:rsidRPr="00001427">
        <w:rPr>
          <w:rFonts w:cs="Helvetica"/>
          <w:color w:val="000000"/>
          <w:szCs w:val="24"/>
        </w:rPr>
        <w:t>Boivie</w:t>
      </w:r>
      <w:proofErr w:type="spellEnd"/>
      <w:r w:rsidRPr="00001427">
        <w:rPr>
          <w:rFonts w:cs="Helvetica"/>
          <w:color w:val="000000"/>
          <w:szCs w:val="24"/>
        </w:rPr>
        <w:t xml:space="preserve">, I., Blomkvist, S., Persson, J. &amp; </w:t>
      </w:r>
      <w:proofErr w:type="spellStart"/>
      <w:r w:rsidRPr="00001427">
        <w:rPr>
          <w:rFonts w:cs="Helvetica"/>
          <w:color w:val="000000"/>
          <w:szCs w:val="24"/>
        </w:rPr>
        <w:t>Cajander</w:t>
      </w:r>
      <w:proofErr w:type="spellEnd"/>
      <w:r w:rsidRPr="00001427">
        <w:rPr>
          <w:rFonts w:cs="Helvetica"/>
          <w:color w:val="000000"/>
          <w:szCs w:val="24"/>
        </w:rPr>
        <w:t xml:space="preserve">,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751D4E">
      <w:pPr>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483ADD">
      <w:pPr>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751D4E">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751D4E">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751D4E">
      <w:pPr>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proofErr w:type="spellStart"/>
      <w:r w:rsidRPr="007B304B">
        <w:rPr>
          <w:rFonts w:cs="Helvetica"/>
          <w:color w:val="000000"/>
          <w:szCs w:val="24"/>
        </w:rPr>
        <w:lastRenderedPageBreak/>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17DF0" w14:textId="77777777" w:rsidR="00A65AC3" w:rsidRDefault="00A65AC3" w:rsidP="007160F9">
      <w:pPr>
        <w:spacing w:after="0" w:line="240" w:lineRule="auto"/>
      </w:pPr>
      <w:r>
        <w:separator/>
      </w:r>
    </w:p>
  </w:endnote>
  <w:endnote w:type="continuationSeparator" w:id="0">
    <w:p w14:paraId="38C9F22C" w14:textId="77777777" w:rsidR="00A65AC3" w:rsidRDefault="00A65AC3"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72F2D" w14:textId="77777777" w:rsidR="00A65AC3" w:rsidRDefault="00A65AC3" w:rsidP="007160F9">
      <w:pPr>
        <w:spacing w:after="0" w:line="240" w:lineRule="auto"/>
      </w:pPr>
      <w:r>
        <w:separator/>
      </w:r>
    </w:p>
  </w:footnote>
  <w:footnote w:type="continuationSeparator" w:id="0">
    <w:p w14:paraId="094B859B" w14:textId="77777777" w:rsidR="00A65AC3" w:rsidRDefault="00A65AC3"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603DF"/>
    <w:rsid w:val="00062332"/>
    <w:rsid w:val="000652CA"/>
    <w:rsid w:val="000660E2"/>
    <w:rsid w:val="00071179"/>
    <w:rsid w:val="00074B38"/>
    <w:rsid w:val="000759D5"/>
    <w:rsid w:val="00082AF1"/>
    <w:rsid w:val="00083EA5"/>
    <w:rsid w:val="00093169"/>
    <w:rsid w:val="00093B9D"/>
    <w:rsid w:val="0009624A"/>
    <w:rsid w:val="00097197"/>
    <w:rsid w:val="000977A0"/>
    <w:rsid w:val="000A31B8"/>
    <w:rsid w:val="000A72FB"/>
    <w:rsid w:val="000B348A"/>
    <w:rsid w:val="000B38DA"/>
    <w:rsid w:val="000B77C0"/>
    <w:rsid w:val="000C09DB"/>
    <w:rsid w:val="000C1C2D"/>
    <w:rsid w:val="000C26BF"/>
    <w:rsid w:val="000C2CE7"/>
    <w:rsid w:val="000C7A39"/>
    <w:rsid w:val="000D07F9"/>
    <w:rsid w:val="000D3853"/>
    <w:rsid w:val="000D495F"/>
    <w:rsid w:val="000E367E"/>
    <w:rsid w:val="000E4335"/>
    <w:rsid w:val="000E445E"/>
    <w:rsid w:val="000E4BD5"/>
    <w:rsid w:val="000E5BF5"/>
    <w:rsid w:val="000E6880"/>
    <w:rsid w:val="000F003A"/>
    <w:rsid w:val="000F28E8"/>
    <w:rsid w:val="000F5CD5"/>
    <w:rsid w:val="000F5DA7"/>
    <w:rsid w:val="000F6C3F"/>
    <w:rsid w:val="0010223F"/>
    <w:rsid w:val="00102D83"/>
    <w:rsid w:val="00103F65"/>
    <w:rsid w:val="001042FA"/>
    <w:rsid w:val="00104702"/>
    <w:rsid w:val="00107D3C"/>
    <w:rsid w:val="00111C60"/>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6DCA"/>
    <w:rsid w:val="00167A07"/>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F054D"/>
    <w:rsid w:val="001F348B"/>
    <w:rsid w:val="001F5166"/>
    <w:rsid w:val="001F7EAA"/>
    <w:rsid w:val="002004AF"/>
    <w:rsid w:val="00200A97"/>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2E07"/>
    <w:rsid w:val="00234287"/>
    <w:rsid w:val="002369FE"/>
    <w:rsid w:val="00237397"/>
    <w:rsid w:val="00240F0F"/>
    <w:rsid w:val="00247DB6"/>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5A0"/>
    <w:rsid w:val="002A5EB2"/>
    <w:rsid w:val="002B0FC2"/>
    <w:rsid w:val="002B6E42"/>
    <w:rsid w:val="002B7AA8"/>
    <w:rsid w:val="002C01CC"/>
    <w:rsid w:val="002C7AD0"/>
    <w:rsid w:val="002D062A"/>
    <w:rsid w:val="002D1204"/>
    <w:rsid w:val="002D5B83"/>
    <w:rsid w:val="002E0708"/>
    <w:rsid w:val="002E40E3"/>
    <w:rsid w:val="002E5431"/>
    <w:rsid w:val="002E5E81"/>
    <w:rsid w:val="002E5EE1"/>
    <w:rsid w:val="002F0C64"/>
    <w:rsid w:val="002F2A04"/>
    <w:rsid w:val="002F2E15"/>
    <w:rsid w:val="002F4635"/>
    <w:rsid w:val="00303D44"/>
    <w:rsid w:val="00304538"/>
    <w:rsid w:val="00310CA2"/>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66132"/>
    <w:rsid w:val="00370CE6"/>
    <w:rsid w:val="0037139E"/>
    <w:rsid w:val="0037157F"/>
    <w:rsid w:val="0037451D"/>
    <w:rsid w:val="00376CD6"/>
    <w:rsid w:val="0037787F"/>
    <w:rsid w:val="00380391"/>
    <w:rsid w:val="00384910"/>
    <w:rsid w:val="0038624E"/>
    <w:rsid w:val="00386CFB"/>
    <w:rsid w:val="00396789"/>
    <w:rsid w:val="003A0E3E"/>
    <w:rsid w:val="003A1B40"/>
    <w:rsid w:val="003A2094"/>
    <w:rsid w:val="003A4F58"/>
    <w:rsid w:val="003A51D3"/>
    <w:rsid w:val="003A608F"/>
    <w:rsid w:val="003A72B0"/>
    <w:rsid w:val="003B4B79"/>
    <w:rsid w:val="003B502C"/>
    <w:rsid w:val="003B5129"/>
    <w:rsid w:val="003B657D"/>
    <w:rsid w:val="003B6B54"/>
    <w:rsid w:val="003C088D"/>
    <w:rsid w:val="003C1E05"/>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A64"/>
    <w:rsid w:val="00425D1E"/>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1F3"/>
    <w:rsid w:val="004A24CF"/>
    <w:rsid w:val="004A3301"/>
    <w:rsid w:val="004A43B4"/>
    <w:rsid w:val="004B0D06"/>
    <w:rsid w:val="004B143F"/>
    <w:rsid w:val="004B257E"/>
    <w:rsid w:val="004B6D7F"/>
    <w:rsid w:val="004C1784"/>
    <w:rsid w:val="004C3BE2"/>
    <w:rsid w:val="004C7C07"/>
    <w:rsid w:val="004D0BAE"/>
    <w:rsid w:val="004D0D07"/>
    <w:rsid w:val="004D14C2"/>
    <w:rsid w:val="004E276C"/>
    <w:rsid w:val="004E4656"/>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2156"/>
    <w:rsid w:val="00594A7D"/>
    <w:rsid w:val="0059724F"/>
    <w:rsid w:val="005B08CF"/>
    <w:rsid w:val="005B5E75"/>
    <w:rsid w:val="005B5FB6"/>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269F8"/>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33F9"/>
    <w:rsid w:val="00673EC6"/>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5CF2"/>
    <w:rsid w:val="006F6408"/>
    <w:rsid w:val="006F75CF"/>
    <w:rsid w:val="00705E93"/>
    <w:rsid w:val="0071447C"/>
    <w:rsid w:val="00716017"/>
    <w:rsid w:val="007160F9"/>
    <w:rsid w:val="00716A11"/>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5EAB"/>
    <w:rsid w:val="00796488"/>
    <w:rsid w:val="00796EF4"/>
    <w:rsid w:val="007A3161"/>
    <w:rsid w:val="007A46F6"/>
    <w:rsid w:val="007A7E5E"/>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D5BC5"/>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432"/>
    <w:rsid w:val="009353F7"/>
    <w:rsid w:val="00935BE1"/>
    <w:rsid w:val="00935E2E"/>
    <w:rsid w:val="00937407"/>
    <w:rsid w:val="00937982"/>
    <w:rsid w:val="009402AD"/>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5AC3"/>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6BCD"/>
    <w:rsid w:val="00B017E4"/>
    <w:rsid w:val="00B0272E"/>
    <w:rsid w:val="00B068B0"/>
    <w:rsid w:val="00B13969"/>
    <w:rsid w:val="00B14909"/>
    <w:rsid w:val="00B14995"/>
    <w:rsid w:val="00B20779"/>
    <w:rsid w:val="00B21AC9"/>
    <w:rsid w:val="00B24FE9"/>
    <w:rsid w:val="00B259F2"/>
    <w:rsid w:val="00B304A2"/>
    <w:rsid w:val="00B31B49"/>
    <w:rsid w:val="00B341A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4CD9"/>
    <w:rsid w:val="00C54DB9"/>
    <w:rsid w:val="00C57C96"/>
    <w:rsid w:val="00C734AF"/>
    <w:rsid w:val="00C754B1"/>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D42A8"/>
    <w:rsid w:val="00CE0963"/>
    <w:rsid w:val="00CE0EE4"/>
    <w:rsid w:val="00CE1A69"/>
    <w:rsid w:val="00CE2368"/>
    <w:rsid w:val="00CE3FB4"/>
    <w:rsid w:val="00CE48AF"/>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C4A77"/>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5372"/>
    <w:rsid w:val="00E96B35"/>
    <w:rsid w:val="00EA4E7D"/>
    <w:rsid w:val="00EB0F43"/>
    <w:rsid w:val="00EC2C7E"/>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4F54"/>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1481</TotalTime>
  <Pages>48</Pages>
  <Words>16908</Words>
  <Characters>96377</Characters>
  <Application>Microsoft Office Word</Application>
  <DocSecurity>0</DocSecurity>
  <Lines>803</Lines>
  <Paragraphs>226</Paragraphs>
  <ScaleCrop>false</ScaleCrop>
  <Company/>
  <LinksUpToDate>false</LinksUpToDate>
  <CharactersWithSpaces>113059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889</cp:revision>
  <cp:lastPrinted>2026-02-07T15:20:00Z</cp:lastPrinted>
  <dcterms:created xsi:type="dcterms:W3CDTF">2026-01-29T09:36:00Z</dcterms:created>
  <dcterms:modified xsi:type="dcterms:W3CDTF">2026-02-11T15:35:00Z</dcterms:modified>
</cp:coreProperties>
</file>