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  <w:sectPr>
          <w:pgSz w:h="15840" w:w="12240" w:orient="portrait"/>
          <w:pgMar w:bottom="537.0004272460938" w:top="351.9873046875" w:left="448.60034942626953" w:right="432.5903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36.000030517578125"/>
          <w:szCs w:val="36.000030517578125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8.000022888183594"/>
          <w:szCs w:val="28.000022888183594"/>
          <w:u w:val="none"/>
          <w:shd w:fill="auto" w:val="clear"/>
          <w:vertAlign w:val="baseline"/>
          <w:rtl w:val="0"/>
        </w:rPr>
        <w:t xml:space="preserve">UBNETTING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packetlife.net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441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Subnet Chart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37.0004272460938" w:top="351.9873046875" w:left="3083.2022094726562" w:right="1696.391601562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Decimal to Binary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359.85629081726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CIDR Subnet Mask Addresses Wildcard /32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255.255.255.255 1 0.0.0.0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255.255.255.254 2 0.0.0.1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255.255.255.252 4 0.0.0.3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255.255.255.248 8 0.0.0.7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359.856433868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255.255.255.240 16 0.0.0.15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255.255.255.224 32 0.0.0.31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255.255.255.192 64 0.0.0.63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255.255.255.128 128 0.0.0.127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255.255.255.0 256 0.0.0.255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5629081726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Subnet Mask 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1111 1111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1111 1110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1111 1100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1111 1000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1111 0000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1110 0000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1100 0000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1000 0000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0000 0000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Wildcard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359.856433868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0000 0000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0000 0001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0000 0011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0000 0111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359.85660552978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0000 1111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0001 1111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0011 1111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359.85600471496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37.0004272460938" w:top="351.9873046875" w:left="501.80042266845703" w:right="766.9775390625" w:header="0" w:footer="720"/>
          <w:cols w:equalWidth="0" w:num="3"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0111 1111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119140625" w:line="359.85620498657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255.255.254.0 512 0.0.1.255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255.255.252.0 1,024 0.0.3.255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255.255.248.0 2,048 0.0.7.255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255.255.240.0 4,096 0.0.15.255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359.856319427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255.255.224.0 8,192 0.0.31.255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255.255.192.0 16,384 0.0.63.255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255.255.128.0 32,768 0.0.127.255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255.255.0.0 65,536 0.0.255.255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255.254.0.0 131,072 0.1.255.255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255.252.0.0 262,144 0.3.255.255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255.248.0.0 524,288 0.7.255.255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255.240.0.0 1,048,576 0.15.255.255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255.224.0.0 2,097,152 0.31.255.255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255.192.0.0 4,194,304 0.63.255.255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359.856033325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255.128.0.0 8,388,608 0.127.255.255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255.0.0.0 16,777,216 0.255.255.255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254.0.0.0 33,554,432 1.255.255.255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252.0.0.0 67,108,864 3.255.255.255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248.0.0.0 134,217,728 7.255.255.255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240.0.0.0 268,435,456 15.255.255.255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224.0.0.0 536,870,912 31.255.255.255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Subnet Proportion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93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  <w:drawing>
          <wp:inline distB="19050" distT="19050" distL="19050" distR="19050">
            <wp:extent cx="1905000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Classful Ranges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0.0.0.0 - 127.255.255.255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128.0.0.0 - 191.255.255.255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192.0.0.0 - 223.255.255.255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224.0.0.0 - 239.255.255.255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240.0.0.0 - 255.255.255.255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997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Reserved Ranges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359.855861663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RFC1918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10.0.0.0 - 10.255.255.255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Localhost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127.0.0.0 - 127.255.255.255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RFC1918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172.16.0.0 - 172.31.255.255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RFC1918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192.168.0.0 - 192.168.255.255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199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37.0004272460938" w:top="351.9873046875" w:left="771.0006713867188" w:right="524.79736328125" w:header="0" w:footer="720"/>
          <w:cols w:equalWidth="0" w:num="2">
            <w:col w:space="0" w:w="5480"/>
            <w:col w:space="0" w:w="54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Determine Usable Hosts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9942626953125" w:line="359.85589027404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192.0.0.0 1,073,741,824 63.255.255.255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128.0.0.0 2,147,483,648 127.255.255.255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/0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0.0.0.0 4,294,967,296 255.255.255.255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99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3364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Terminology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Total Addresses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77.6666545867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- Subnet ID - Broadcast 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Usable hosts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256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77.6666545867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37.0004272460938" w:top="351.9873046875" w:left="909.9948120117188" w:right="715.511474609375" w:header="0" w:footer="720"/>
          <w:cols w:equalWidth="0" w:num="3">
            <w:col w:space="0" w:w="3540"/>
            <w:col w:space="0" w:w="3540"/>
            <w:col w:space="0" w:w="3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- 1 - 1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254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6905212402344" w:line="266.56002044677734" w:lineRule="auto"/>
        <w:ind w:left="7.380027770996094" w:right="83.336181640625" w:hanging="7.38002777099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CIDR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· Classless interdomain routing was developed to provide more granularity than legacy classful addressing; masks expressed in the form /XX are in CIDR notation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93461608887" w:lineRule="auto"/>
        <w:ind w:left="36.9171142578125" w:right="28.8708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37.0004272460938" w:top="351.9873046875" w:left="500.82042694091797" w:right="488.05053710937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VLSM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· Variable length subnet masks are an arbitrary length between 0 and 32 bits; CIDR relies on VLSMs to define routes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0206604003906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909090"/>
          <w:sz w:val="20.000017166137695"/>
          <w:szCs w:val="20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90"/>
          <w:sz w:val="20.000017166137695"/>
          <w:szCs w:val="20.000017166137695"/>
          <w:u w:val="none"/>
          <w:shd w:fill="auto" w:val="clear"/>
          <w:vertAlign w:val="baseline"/>
          <w:rtl w:val="0"/>
        </w:rPr>
        <w:t xml:space="preserve">by Jeremy Stretch v1.0</w:t>
      </w:r>
    </w:p>
    <w:sectPr>
      <w:type w:val="continuous"/>
      <w:pgSz w:h="15840" w:w="12240" w:orient="portrait"/>
      <w:pgMar w:bottom="537.0004272460938" w:top="351.9873046875" w:left="448.60034942626953" w:right="432.59033203125" w:header="0" w:footer="720"/>
      <w:cols w:equalWidth="0" w:num="1">
        <w:col w:space="0" w:w="11358.809318542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