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755912" w:rsidRDefault="00755912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755912">
        <w:rPr>
          <w:noProof/>
          <w:lang w:val="fr-FR"/>
        </w:rPr>
        <w:t>Fiabilité à 100 % !</w:t>
      </w:r>
    </w:p>
    <w:p w:rsidR="009D2C27" w:rsidRPr="00755912" w:rsidRDefault="009D2C27" w:rsidP="0014219C">
      <w:pPr>
        <w:pStyle w:val="LabSection"/>
        <w:rPr>
          <w:noProof/>
          <w:lang w:val="fr-FR"/>
        </w:rPr>
      </w:pPr>
      <w:r w:rsidRPr="00755912">
        <w:rPr>
          <w:noProof/>
          <w:lang w:val="fr-FR"/>
        </w:rPr>
        <w:t>Objectifs</w:t>
      </w:r>
    </w:p>
    <w:p w:rsidR="00554B4E" w:rsidRPr="00755912" w:rsidRDefault="00BD2D6C" w:rsidP="00963E34">
      <w:pPr>
        <w:pStyle w:val="BodyTextL25Bold"/>
        <w:rPr>
          <w:noProof/>
          <w:lang w:val="fr-FR"/>
        </w:rPr>
      </w:pPr>
      <w:r w:rsidRPr="00755912">
        <w:rPr>
          <w:noProof/>
          <w:lang w:val="fr-FR"/>
        </w:rPr>
        <w:t>Expliquer le rôle des protoc</w:t>
      </w:r>
      <w:bookmarkStart w:id="0" w:name="_GoBack"/>
      <w:bookmarkEnd w:id="0"/>
      <w:r w:rsidRPr="00755912">
        <w:rPr>
          <w:noProof/>
          <w:lang w:val="fr-FR"/>
        </w:rPr>
        <w:t>oles et des organismes de normalisation en tant que facilitateurs de l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 xml:space="preserve">interopérabilité des communications réseau </w:t>
      </w:r>
    </w:p>
    <w:p w:rsidR="00BD2D6C" w:rsidRPr="00755912" w:rsidRDefault="00FE6E17" w:rsidP="00755912">
      <w:pPr>
        <w:pStyle w:val="LabSection"/>
        <w:numPr>
          <w:ilvl w:val="0"/>
          <w:numId w:val="0"/>
        </w:numPr>
        <w:spacing w:before="120" w:after="60"/>
        <w:ind w:left="720"/>
        <w:rPr>
          <w:noProof/>
          <w:lang w:val="fr-FR"/>
        </w:rPr>
      </w:pPr>
      <w:r w:rsidRPr="00755912">
        <w:rPr>
          <w:b w:val="0"/>
          <w:bCs w:val="0"/>
          <w:iCs w:val="0"/>
          <w:noProof/>
          <w:sz w:val="20"/>
          <w:lang w:val="fr-FR"/>
        </w:rPr>
        <w:t>Les étudiants expliqueront comment les communications réseau peuvent être comparées aux activités quotidiennes grâce à des procédures et des normes établies.</w:t>
      </w:r>
    </w:p>
    <w:p w:rsidR="00C07FD9" w:rsidRPr="00755912" w:rsidRDefault="009D2C27" w:rsidP="00BD2D6C">
      <w:pPr>
        <w:pStyle w:val="LabSection"/>
        <w:rPr>
          <w:noProof/>
          <w:lang w:val="fr-FR"/>
        </w:rPr>
      </w:pPr>
      <w:r w:rsidRPr="00755912">
        <w:rPr>
          <w:noProof/>
          <w:lang w:val="fr-FR"/>
        </w:rPr>
        <w:t>Contexte/scénario</w:t>
      </w:r>
    </w:p>
    <w:p w:rsidR="00FE6E17" w:rsidRPr="00755912" w:rsidRDefault="00FE6E17" w:rsidP="00FE6E17">
      <w:pPr>
        <w:pStyle w:val="BodyTextL50"/>
        <w:rPr>
          <w:noProof/>
          <w:lang w:val="fr-FR"/>
        </w:rPr>
      </w:pPr>
      <w:r w:rsidRPr="00755912">
        <w:rPr>
          <w:noProof/>
          <w:lang w:val="fr-FR"/>
        </w:rPr>
        <w:t>Vous venez de terminer le chapitre 3 concernant les normes et les protocoles réseau.</w:t>
      </w:r>
    </w:p>
    <w:p w:rsidR="00FE6E17" w:rsidRPr="00755912" w:rsidRDefault="00FE6E17" w:rsidP="00FE6E17">
      <w:pPr>
        <w:pStyle w:val="BodyTextL50"/>
        <w:rPr>
          <w:noProof/>
          <w:lang w:val="fr-FR"/>
        </w:rPr>
      </w:pPr>
      <w:r w:rsidRPr="00755912">
        <w:rPr>
          <w:noProof/>
          <w:lang w:val="fr-FR"/>
        </w:rPr>
        <w:t>En supposant que vous avez réussi le début de l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>exercice de conception de ce chapitre, comment compareriez-vous les étapes de conception d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>un système de communication suivantes aux modèles de réseau utilisés pour les communications ?</w:t>
      </w:r>
    </w:p>
    <w:p w:rsidR="00FE6E17" w:rsidRPr="00755912" w:rsidRDefault="00FE6E17" w:rsidP="00FE6E17">
      <w:pPr>
        <w:rPr>
          <w:rFonts w:eastAsia="Times New Roman" w:cs="Arial"/>
          <w:noProof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-272"/>
        <w:tblOverlap w:val="never"/>
        <w:tblW w:w="7929" w:type="dxa"/>
        <w:tblLayout w:type="fixed"/>
        <w:tblLook w:val="04A0"/>
      </w:tblPr>
      <w:tblGrid>
        <w:gridCol w:w="4075"/>
        <w:gridCol w:w="1136"/>
        <w:gridCol w:w="2718"/>
      </w:tblGrid>
      <w:tr w:rsidR="00FE6E17" w:rsidRPr="00755912" w:rsidTr="004945BA">
        <w:tc>
          <w:tcPr>
            <w:tcW w:w="4075" w:type="dxa"/>
            <w:shd w:val="solid" w:color="1F497D" w:themeColor="text2" w:fill="365F91" w:themeFill="accent1" w:themeFillShade="BF"/>
            <w:vAlign w:val="center"/>
          </w:tcPr>
          <w:p w:rsidR="00FE6E17" w:rsidRPr="00755912" w:rsidRDefault="00FE6E17" w:rsidP="00FE6E17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Étapes de mise en œuvre de la communication</w:t>
            </w:r>
          </w:p>
        </w:tc>
        <w:tc>
          <w:tcPr>
            <w:tcW w:w="1136" w:type="dxa"/>
            <w:shd w:val="solid" w:color="1F497D" w:themeColor="text2" w:fill="365F91" w:themeFill="accent1" w:themeFillShade="BF"/>
            <w:vAlign w:val="center"/>
          </w:tcPr>
          <w:p w:rsidR="00FE6E17" w:rsidRPr="00755912" w:rsidRDefault="00FE6E17" w:rsidP="00FE6E17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Réponses possibles</w:t>
            </w:r>
          </w:p>
        </w:tc>
        <w:tc>
          <w:tcPr>
            <w:tcW w:w="2718" w:type="dxa"/>
            <w:shd w:val="solid" w:color="1F497D" w:themeColor="text2" w:fill="365F91" w:themeFill="accent1" w:themeFillShade="BF"/>
            <w:vAlign w:val="center"/>
          </w:tcPr>
          <w:p w:rsidR="00FE6E17" w:rsidRPr="00755912" w:rsidRDefault="00FE6E17" w:rsidP="00FE6E17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Couche de modèle TCP/IP</w:t>
            </w:r>
          </w:p>
          <w:p w:rsidR="00FE6E17" w:rsidRPr="00755912" w:rsidRDefault="00FE6E17" w:rsidP="00FE6E17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associée</w:t>
            </w:r>
          </w:p>
        </w:tc>
      </w:tr>
      <w:tr w:rsidR="00FE6E17" w:rsidRPr="00755912" w:rsidTr="004945BA">
        <w:tc>
          <w:tcPr>
            <w:tcW w:w="4075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Mise en place d</w:t>
            </w:r>
            <w:r w:rsidR="00A92437"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’</w:t>
            </w: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un langage pour communiquer</w:t>
            </w:r>
          </w:p>
        </w:tc>
        <w:tc>
          <w:tcPr>
            <w:tcW w:w="1136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2718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</w:tr>
      <w:tr w:rsidR="00FE6E17" w:rsidRPr="00755912" w:rsidTr="004945BA">
        <w:tc>
          <w:tcPr>
            <w:tcW w:w="4075" w:type="dxa"/>
          </w:tcPr>
          <w:p w:rsidR="00FE6E17" w:rsidRPr="00755912" w:rsidRDefault="00FE6E17" w:rsidP="004F726B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Division du message en petits éléments, acheminés un à un, pour faciliter la compréhension du problème</w:t>
            </w:r>
          </w:p>
        </w:tc>
        <w:tc>
          <w:tcPr>
            <w:tcW w:w="1136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2718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</w:tr>
      <w:tr w:rsidR="00FE6E17" w:rsidRPr="00755912" w:rsidTr="004945BA">
        <w:tc>
          <w:tcPr>
            <w:tcW w:w="4075" w:type="dxa"/>
          </w:tcPr>
          <w:p w:rsidR="00FE6E17" w:rsidRPr="006C61DA" w:rsidRDefault="00FE6E17" w:rsidP="006C61DA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Vérifier si le message a été remis correctement au mécanicien qui sera chargé d</w:t>
            </w:r>
            <w:r w:rsidR="00A92437"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’</w:t>
            </w: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effectuer les réparations</w:t>
            </w:r>
          </w:p>
        </w:tc>
        <w:tc>
          <w:tcPr>
            <w:tcW w:w="1136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2718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</w:tr>
      <w:tr w:rsidR="00FE6E17" w:rsidRPr="00755912" w:rsidTr="004945BA">
        <w:tc>
          <w:tcPr>
            <w:tcW w:w="4075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Livraison de l</w:t>
            </w:r>
            <w:r w:rsidR="00A92437"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’</w:t>
            </w: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automobile et temps d</w:t>
            </w:r>
            <w:r w:rsidR="00A92437"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’</w:t>
            </w:r>
            <w:r w:rsidRPr="00755912">
              <w:rPr>
                <w:rFonts w:cs="Arial"/>
                <w:noProof/>
                <w:color w:val="0F243E"/>
                <w:sz w:val="18"/>
                <w:szCs w:val="18"/>
                <w:lang w:val="fr-FR"/>
              </w:rPr>
              <w:t>attente des réparations</w:t>
            </w:r>
          </w:p>
        </w:tc>
        <w:tc>
          <w:tcPr>
            <w:tcW w:w="1136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2718" w:type="dxa"/>
          </w:tcPr>
          <w:p w:rsidR="00FE6E17" w:rsidRPr="00755912" w:rsidRDefault="00FE6E17" w:rsidP="00FE6E17">
            <w:pPr>
              <w:rPr>
                <w:rFonts w:eastAsia="Times New Roman" w:cs="Arial"/>
                <w:noProof/>
                <w:sz w:val="18"/>
                <w:szCs w:val="18"/>
                <w:lang w:val="fr-FR"/>
              </w:rPr>
            </w:pPr>
          </w:p>
        </w:tc>
      </w:tr>
    </w:tbl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FE6E17" w:rsidRPr="00755912" w:rsidRDefault="00FE6E17" w:rsidP="00431654">
      <w:pPr>
        <w:pStyle w:val="InstNoteRedL25"/>
        <w:rPr>
          <w:b/>
          <w:noProof/>
          <w:lang w:val="fr-FR"/>
        </w:rPr>
      </w:pPr>
    </w:p>
    <w:p w:rsidR="007D2AFE" w:rsidRPr="00755912" w:rsidRDefault="007D2AFE" w:rsidP="00FE6E17">
      <w:pPr>
        <w:pStyle w:val="LabSection"/>
        <w:rPr>
          <w:noProof/>
          <w:lang w:val="fr-FR"/>
        </w:rPr>
      </w:pPr>
      <w:r w:rsidRPr="00755912">
        <w:rPr>
          <w:noProof/>
          <w:lang w:val="fr-FR"/>
        </w:rPr>
        <w:t>Ressources requises</w:t>
      </w:r>
    </w:p>
    <w:p w:rsidR="008F7DFE" w:rsidRPr="00755912" w:rsidRDefault="00FE6E17" w:rsidP="00755912">
      <w:pPr>
        <w:pStyle w:val="Bulletlevel1"/>
        <w:numPr>
          <w:ilvl w:val="0"/>
          <w:numId w:val="0"/>
        </w:numPr>
        <w:ind w:left="357"/>
        <w:rPr>
          <w:noProof/>
          <w:lang w:val="fr-FR"/>
        </w:rPr>
      </w:pPr>
      <w:r w:rsidRPr="00755912">
        <w:rPr>
          <w:noProof/>
          <w:lang w:val="fr-FR"/>
        </w:rPr>
        <w:t>Le tableau « Étapes de mise en œuvre de la communication » (ci-dessus) vide pour permettre aux étudiants de consigner leurs réponses à l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>aide de leurs connaissances du chapitre 3.</w:t>
      </w:r>
    </w:p>
    <w:p w:rsidR="00853418" w:rsidRPr="00755912" w:rsidRDefault="00024EE5" w:rsidP="00024EE5">
      <w:pPr>
        <w:pStyle w:val="LabSection"/>
        <w:rPr>
          <w:noProof/>
          <w:lang w:val="fr-FR"/>
        </w:rPr>
      </w:pPr>
      <w:r w:rsidRPr="00755912">
        <w:rPr>
          <w:noProof/>
          <w:lang w:val="fr-FR"/>
        </w:rPr>
        <w:t>Remarques générales</w:t>
      </w:r>
    </w:p>
    <w:p w:rsidR="00BD2D6C" w:rsidRPr="00755912" w:rsidRDefault="000A1646" w:rsidP="00BD2D6C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755912">
        <w:rPr>
          <w:noProof/>
          <w:lang w:val="fr-FR"/>
        </w:rPr>
        <w:t>En quoi votre modèle de réseau pour la mise en œuvre du plan de communications d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>un garage est-il comparable à un plan d</w:t>
      </w:r>
      <w:r w:rsidR="00A92437" w:rsidRPr="00755912">
        <w:rPr>
          <w:noProof/>
          <w:lang w:val="fr-FR"/>
        </w:rPr>
        <w:t>’</w:t>
      </w:r>
      <w:r w:rsidRPr="00755912">
        <w:rPr>
          <w:noProof/>
          <w:lang w:val="fr-FR"/>
        </w:rPr>
        <w:t>interopérabilité des communications réseau ?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p w:rsidR="00755912" w:rsidRPr="00755912" w:rsidRDefault="00755912" w:rsidP="00755912">
      <w:pPr>
        <w:pStyle w:val="BodyTextL25"/>
        <w:ind w:left="720"/>
        <w:rPr>
          <w:noProof/>
          <w:lang w:val="fr-FR"/>
        </w:rPr>
      </w:pPr>
      <w:r w:rsidRPr="00755912">
        <w:rPr>
          <w:noProof/>
          <w:lang w:val="fr-FR"/>
        </w:rPr>
        <w:t>____________________________________________________________________________________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094"/>
        <w:gridCol w:w="2854"/>
        <w:gridCol w:w="2267"/>
      </w:tblGrid>
      <w:tr w:rsidR="004039E0" w:rsidRPr="00755912" w:rsidTr="004039E0">
        <w:trPr>
          <w:jc w:val="center"/>
        </w:trPr>
        <w:tc>
          <w:tcPr>
            <w:tcW w:w="4094" w:type="dxa"/>
            <w:shd w:val="solid" w:color="1F497D" w:themeColor="text2" w:fill="365F91" w:themeFill="accent1" w:themeFillShade="BF"/>
            <w:vAlign w:val="center"/>
          </w:tcPr>
          <w:p w:rsidR="004039E0" w:rsidRPr="00755912" w:rsidRDefault="004039E0" w:rsidP="004945BA">
            <w:pPr>
              <w:keepNext/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lastRenderedPageBreak/>
              <w:t>Étapes de mise en œuvre de la communication</w:t>
            </w:r>
          </w:p>
        </w:tc>
        <w:tc>
          <w:tcPr>
            <w:tcW w:w="2854" w:type="dxa"/>
            <w:shd w:val="solid" w:color="1F497D" w:themeColor="text2" w:fill="365F91" w:themeFill="accent1" w:themeFillShade="BF"/>
            <w:vAlign w:val="center"/>
          </w:tcPr>
          <w:p w:rsidR="004039E0" w:rsidRPr="00755912" w:rsidRDefault="004039E0" w:rsidP="004039E0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Réponses possibles</w:t>
            </w:r>
          </w:p>
        </w:tc>
        <w:tc>
          <w:tcPr>
            <w:tcW w:w="2267" w:type="dxa"/>
            <w:shd w:val="solid" w:color="1F497D" w:themeColor="text2" w:fill="365F91" w:themeFill="accent1" w:themeFillShade="BF"/>
            <w:vAlign w:val="center"/>
          </w:tcPr>
          <w:p w:rsidR="004039E0" w:rsidRPr="00755912" w:rsidRDefault="004039E0" w:rsidP="00755912">
            <w:pPr>
              <w:jc w:val="center"/>
              <w:rPr>
                <w:rFonts w:eastAsia="Times New Roman" w:cs="Arial"/>
                <w:b/>
                <w:noProof/>
                <w:color w:val="FFFFFF" w:themeColor="background1"/>
                <w:sz w:val="18"/>
                <w:szCs w:val="18"/>
                <w:lang w:val="fr-FR"/>
              </w:rPr>
            </w:pPr>
            <w:r w:rsidRPr="00755912">
              <w:rPr>
                <w:rFonts w:cs="Arial"/>
                <w:b/>
                <w:noProof/>
                <w:color w:val="FFFFFF"/>
                <w:sz w:val="18"/>
                <w:szCs w:val="18"/>
                <w:lang w:val="fr-FR"/>
              </w:rPr>
              <w:t>Couche de modèle TCP/IP associée</w:t>
            </w:r>
          </w:p>
        </w:tc>
      </w:tr>
      <w:tr w:rsidR="004039E0" w:rsidRPr="00755912" w:rsidTr="004039E0">
        <w:trPr>
          <w:jc w:val="center"/>
        </w:trPr>
        <w:tc>
          <w:tcPr>
            <w:tcW w:w="409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85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267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</w:tr>
      <w:tr w:rsidR="004039E0" w:rsidRPr="00755912" w:rsidTr="004039E0">
        <w:trPr>
          <w:jc w:val="center"/>
        </w:trPr>
        <w:tc>
          <w:tcPr>
            <w:tcW w:w="4094" w:type="dxa"/>
            <w:vAlign w:val="center"/>
          </w:tcPr>
          <w:p w:rsidR="004039E0" w:rsidRPr="00755912" w:rsidRDefault="004039E0" w:rsidP="004F726B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F726B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F726B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F726B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85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267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</w:tr>
      <w:tr w:rsidR="004039E0" w:rsidRPr="00755912" w:rsidTr="004039E0">
        <w:trPr>
          <w:jc w:val="center"/>
        </w:trPr>
        <w:tc>
          <w:tcPr>
            <w:tcW w:w="409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85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267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</w:tr>
      <w:tr w:rsidR="004039E0" w:rsidRPr="00755912" w:rsidTr="004039E0">
        <w:trPr>
          <w:jc w:val="center"/>
        </w:trPr>
        <w:tc>
          <w:tcPr>
            <w:tcW w:w="409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  <w:p w:rsidR="00755912" w:rsidRPr="00755912" w:rsidRDefault="00755912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854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  <w:tc>
          <w:tcPr>
            <w:tcW w:w="2267" w:type="dxa"/>
            <w:vAlign w:val="center"/>
          </w:tcPr>
          <w:p w:rsidR="004039E0" w:rsidRPr="00755912" w:rsidRDefault="004039E0" w:rsidP="004039E0">
            <w:pPr>
              <w:rPr>
                <w:rFonts w:eastAsia="Times New Roman" w:cs="Arial"/>
                <w:noProof/>
                <w:color w:val="0F243E" w:themeColor="text2" w:themeShade="80"/>
                <w:sz w:val="18"/>
                <w:szCs w:val="18"/>
                <w:highlight w:val="lightGray"/>
                <w:lang w:val="fr-FR"/>
              </w:rPr>
            </w:pPr>
          </w:p>
        </w:tc>
      </w:tr>
    </w:tbl>
    <w:p w:rsidR="008F7DFE" w:rsidRPr="00755912" w:rsidRDefault="008F7DFE" w:rsidP="00755912">
      <w:pPr>
        <w:pStyle w:val="LabSection"/>
        <w:numPr>
          <w:ilvl w:val="0"/>
          <w:numId w:val="0"/>
        </w:numPr>
        <w:rPr>
          <w:noProof/>
          <w:color w:val="FF0000"/>
          <w:lang w:val="fr-FR"/>
        </w:rPr>
      </w:pPr>
    </w:p>
    <w:sectPr w:rsidR="008F7DFE" w:rsidRPr="00755912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D06" w:rsidRDefault="00496D06" w:rsidP="0090659A">
      <w:pPr>
        <w:spacing w:after="0" w:line="240" w:lineRule="auto"/>
      </w:pPr>
      <w:r>
        <w:separator/>
      </w:r>
    </w:p>
    <w:p w:rsidR="00496D06" w:rsidRDefault="00496D06"/>
    <w:p w:rsidR="00496D06" w:rsidRDefault="00496D06"/>
    <w:p w:rsidR="00496D06" w:rsidRDefault="00496D06"/>
    <w:p w:rsidR="00496D06" w:rsidRDefault="00496D06"/>
  </w:endnote>
  <w:endnote w:type="continuationSeparator" w:id="0">
    <w:p w:rsidR="00496D06" w:rsidRDefault="00496D06" w:rsidP="0090659A">
      <w:pPr>
        <w:spacing w:after="0" w:line="240" w:lineRule="auto"/>
      </w:pPr>
      <w:r>
        <w:continuationSeparator/>
      </w:r>
    </w:p>
    <w:p w:rsidR="00496D06" w:rsidRDefault="00496D06"/>
    <w:p w:rsidR="00496D06" w:rsidRDefault="00496D06"/>
    <w:p w:rsidR="00496D06" w:rsidRDefault="00496D06"/>
    <w:p w:rsidR="00496D06" w:rsidRDefault="00496D0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F3D" w:rsidRDefault="00D40F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755912" w:rsidRDefault="008C4307" w:rsidP="00D40F3D">
    <w:pPr>
      <w:pStyle w:val="Footer"/>
      <w:rPr>
        <w:noProof/>
        <w:szCs w:val="16"/>
        <w:lang w:val="fr-FR"/>
      </w:rPr>
    </w:pPr>
    <w:r w:rsidRPr="00755912">
      <w:rPr>
        <w:noProof/>
        <w:lang w:val="fr-FR"/>
      </w:rPr>
      <w:t xml:space="preserve">© </w:t>
    </w:r>
    <w:r w:rsidR="00D40F3D" w:rsidRPr="00765570">
      <w:rPr>
        <w:lang w:val="fr-FR"/>
      </w:rPr>
      <w:t>201</w:t>
    </w:r>
    <w:r w:rsidR="00D40F3D">
      <w:rPr>
        <w:rFonts w:eastAsia="SimSun" w:hint="eastAsia"/>
        <w:lang w:val="fr-FR"/>
      </w:rPr>
      <w:t>4</w:t>
    </w:r>
    <w:r w:rsidR="00D40F3D" w:rsidRPr="00765570">
      <w:rPr>
        <w:lang w:val="fr-FR"/>
      </w:rPr>
      <w:t xml:space="preserve"> </w:t>
    </w:r>
    <w:r w:rsidRPr="00755912">
      <w:rPr>
        <w:noProof/>
        <w:lang w:val="fr-FR"/>
      </w:rPr>
      <w:t>Cisco et/ou ses filiales. Tous droits réservés. Ceci est un document public de Cisco.</w:t>
    </w:r>
    <w:r w:rsidRPr="00755912">
      <w:rPr>
        <w:noProof/>
        <w:szCs w:val="16"/>
        <w:lang w:val="fr-FR"/>
      </w:rPr>
      <w:tab/>
      <w:t xml:space="preserve">Page </w:t>
    </w:r>
    <w:r w:rsidR="000F48D0" w:rsidRPr="00755912">
      <w:rPr>
        <w:b/>
        <w:noProof/>
        <w:szCs w:val="16"/>
        <w:lang w:val="fr-FR"/>
      </w:rPr>
      <w:fldChar w:fldCharType="begin"/>
    </w:r>
    <w:r w:rsidRPr="00755912">
      <w:rPr>
        <w:b/>
        <w:noProof/>
        <w:szCs w:val="16"/>
        <w:lang w:val="fr-FR"/>
      </w:rPr>
      <w:instrText xml:space="preserve"> PAGE </w:instrText>
    </w:r>
    <w:r w:rsidR="000F48D0" w:rsidRPr="00755912">
      <w:rPr>
        <w:b/>
        <w:noProof/>
        <w:szCs w:val="16"/>
        <w:lang w:val="fr-FR"/>
      </w:rPr>
      <w:fldChar w:fldCharType="separate"/>
    </w:r>
    <w:r w:rsidR="00D40F3D">
      <w:rPr>
        <w:b/>
        <w:noProof/>
        <w:szCs w:val="16"/>
        <w:lang w:val="fr-FR"/>
      </w:rPr>
      <w:t>2</w:t>
    </w:r>
    <w:r w:rsidR="000F48D0" w:rsidRPr="00755912">
      <w:rPr>
        <w:b/>
        <w:noProof/>
        <w:szCs w:val="16"/>
        <w:lang w:val="fr-FR"/>
      </w:rPr>
      <w:fldChar w:fldCharType="end"/>
    </w:r>
    <w:r w:rsidRPr="00755912">
      <w:rPr>
        <w:noProof/>
        <w:szCs w:val="16"/>
        <w:lang w:val="fr-FR"/>
      </w:rPr>
      <w:t xml:space="preserve"> sur </w:t>
    </w:r>
    <w:r w:rsidR="000F48D0" w:rsidRPr="00755912">
      <w:rPr>
        <w:b/>
        <w:noProof/>
        <w:szCs w:val="16"/>
        <w:lang w:val="fr-FR"/>
      </w:rPr>
      <w:fldChar w:fldCharType="begin"/>
    </w:r>
    <w:r w:rsidRPr="00755912">
      <w:rPr>
        <w:b/>
        <w:noProof/>
        <w:szCs w:val="16"/>
        <w:lang w:val="fr-FR"/>
      </w:rPr>
      <w:instrText xml:space="preserve"> NUMPAGES  </w:instrText>
    </w:r>
    <w:r w:rsidR="000F48D0" w:rsidRPr="00755912">
      <w:rPr>
        <w:b/>
        <w:noProof/>
        <w:szCs w:val="16"/>
        <w:lang w:val="fr-FR"/>
      </w:rPr>
      <w:fldChar w:fldCharType="separate"/>
    </w:r>
    <w:r w:rsidR="00D40F3D">
      <w:rPr>
        <w:b/>
        <w:noProof/>
        <w:szCs w:val="16"/>
        <w:lang w:val="fr-FR"/>
      </w:rPr>
      <w:t>2</w:t>
    </w:r>
    <w:r w:rsidR="000F48D0" w:rsidRPr="0075591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755912" w:rsidRDefault="008C4307" w:rsidP="00D40F3D">
    <w:pPr>
      <w:pStyle w:val="Footer"/>
      <w:rPr>
        <w:noProof/>
        <w:szCs w:val="16"/>
        <w:lang w:val="fr-FR"/>
      </w:rPr>
    </w:pPr>
    <w:r w:rsidRPr="00755912">
      <w:rPr>
        <w:noProof/>
        <w:lang w:val="fr-FR"/>
      </w:rPr>
      <w:t xml:space="preserve">© </w:t>
    </w:r>
    <w:r w:rsidR="00D40F3D" w:rsidRPr="00765570">
      <w:rPr>
        <w:lang w:val="fr-FR"/>
      </w:rPr>
      <w:t>201</w:t>
    </w:r>
    <w:r w:rsidR="00D40F3D">
      <w:rPr>
        <w:rFonts w:eastAsia="SimSun" w:hint="eastAsia"/>
        <w:lang w:val="fr-FR"/>
      </w:rPr>
      <w:t>4</w:t>
    </w:r>
    <w:r w:rsidR="00D40F3D" w:rsidRPr="00765570">
      <w:rPr>
        <w:lang w:val="fr-FR"/>
      </w:rPr>
      <w:t xml:space="preserve"> </w:t>
    </w:r>
    <w:r w:rsidRPr="00755912">
      <w:rPr>
        <w:noProof/>
        <w:lang w:val="fr-FR"/>
      </w:rPr>
      <w:t>Cisco et/ou ses filiales. Tous droits réservés. Ceci est un document public de Cisco.</w:t>
    </w:r>
    <w:r w:rsidRPr="00755912">
      <w:rPr>
        <w:noProof/>
        <w:szCs w:val="16"/>
        <w:lang w:val="fr-FR"/>
      </w:rPr>
      <w:tab/>
      <w:t xml:space="preserve">Page </w:t>
    </w:r>
    <w:r w:rsidR="000F48D0" w:rsidRPr="00755912">
      <w:rPr>
        <w:b/>
        <w:noProof/>
        <w:szCs w:val="16"/>
        <w:lang w:val="fr-FR"/>
      </w:rPr>
      <w:fldChar w:fldCharType="begin"/>
    </w:r>
    <w:r w:rsidRPr="00755912">
      <w:rPr>
        <w:b/>
        <w:noProof/>
        <w:szCs w:val="16"/>
        <w:lang w:val="fr-FR"/>
      </w:rPr>
      <w:instrText xml:space="preserve"> PAGE </w:instrText>
    </w:r>
    <w:r w:rsidR="000F48D0" w:rsidRPr="00755912">
      <w:rPr>
        <w:b/>
        <w:noProof/>
        <w:szCs w:val="16"/>
        <w:lang w:val="fr-FR"/>
      </w:rPr>
      <w:fldChar w:fldCharType="separate"/>
    </w:r>
    <w:r w:rsidR="00D40F3D">
      <w:rPr>
        <w:b/>
        <w:noProof/>
        <w:szCs w:val="16"/>
        <w:lang w:val="fr-FR"/>
      </w:rPr>
      <w:t>1</w:t>
    </w:r>
    <w:r w:rsidR="000F48D0" w:rsidRPr="00755912">
      <w:rPr>
        <w:b/>
        <w:noProof/>
        <w:szCs w:val="16"/>
        <w:lang w:val="fr-FR"/>
      </w:rPr>
      <w:fldChar w:fldCharType="end"/>
    </w:r>
    <w:r w:rsidRPr="00755912">
      <w:rPr>
        <w:noProof/>
        <w:szCs w:val="16"/>
        <w:lang w:val="fr-FR"/>
      </w:rPr>
      <w:t xml:space="preserve"> sur </w:t>
    </w:r>
    <w:r w:rsidR="000F48D0" w:rsidRPr="00755912">
      <w:rPr>
        <w:b/>
        <w:noProof/>
        <w:szCs w:val="16"/>
        <w:lang w:val="fr-FR"/>
      </w:rPr>
      <w:fldChar w:fldCharType="begin"/>
    </w:r>
    <w:r w:rsidRPr="00755912">
      <w:rPr>
        <w:b/>
        <w:noProof/>
        <w:szCs w:val="16"/>
        <w:lang w:val="fr-FR"/>
      </w:rPr>
      <w:instrText xml:space="preserve"> NUMPAGES  </w:instrText>
    </w:r>
    <w:r w:rsidR="000F48D0" w:rsidRPr="00755912">
      <w:rPr>
        <w:b/>
        <w:noProof/>
        <w:szCs w:val="16"/>
        <w:lang w:val="fr-FR"/>
      </w:rPr>
      <w:fldChar w:fldCharType="separate"/>
    </w:r>
    <w:r w:rsidR="00D40F3D">
      <w:rPr>
        <w:b/>
        <w:noProof/>
        <w:szCs w:val="16"/>
        <w:lang w:val="fr-FR"/>
      </w:rPr>
      <w:t>2</w:t>
    </w:r>
    <w:r w:rsidR="000F48D0" w:rsidRPr="0075591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D06" w:rsidRDefault="00496D06" w:rsidP="0090659A">
      <w:pPr>
        <w:spacing w:after="0" w:line="240" w:lineRule="auto"/>
      </w:pPr>
      <w:r>
        <w:separator/>
      </w:r>
    </w:p>
    <w:p w:rsidR="00496D06" w:rsidRDefault="00496D06"/>
    <w:p w:rsidR="00496D06" w:rsidRDefault="00496D06"/>
    <w:p w:rsidR="00496D06" w:rsidRDefault="00496D06"/>
    <w:p w:rsidR="00496D06" w:rsidRDefault="00496D06"/>
  </w:footnote>
  <w:footnote w:type="continuationSeparator" w:id="0">
    <w:p w:rsidR="00496D06" w:rsidRDefault="00496D06" w:rsidP="0090659A">
      <w:pPr>
        <w:spacing w:after="0" w:line="240" w:lineRule="auto"/>
      </w:pPr>
      <w:r>
        <w:continuationSeparator/>
      </w:r>
    </w:p>
    <w:p w:rsidR="00496D06" w:rsidRDefault="00496D06"/>
    <w:p w:rsidR="00496D06" w:rsidRDefault="00496D06"/>
    <w:p w:rsidR="00496D06" w:rsidRDefault="00496D06"/>
    <w:p w:rsidR="00496D06" w:rsidRDefault="00496D0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F3D" w:rsidRDefault="00D40F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755912" w:rsidRDefault="00C14C77" w:rsidP="00C52BA6">
    <w:pPr>
      <w:pStyle w:val="PageHead"/>
      <w:rPr>
        <w:noProof/>
        <w:lang w:val="fr-FR"/>
      </w:rPr>
    </w:pPr>
    <w:r w:rsidRPr="00755912">
      <w:rPr>
        <w:noProof/>
        <w:lang w:val="fr-FR"/>
      </w:rPr>
      <w:t>Fiabilité à 100 % !</w:t>
    </w:r>
    <w:r w:rsidRPr="00755912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418C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1646"/>
    <w:rsid w:val="000A22C8"/>
    <w:rsid w:val="000B2344"/>
    <w:rsid w:val="000B7DE5"/>
    <w:rsid w:val="000D55B4"/>
    <w:rsid w:val="000E65F0"/>
    <w:rsid w:val="000F072C"/>
    <w:rsid w:val="000F48D0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40AE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3B83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14A7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2467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4A96"/>
    <w:rsid w:val="004936C2"/>
    <w:rsid w:val="0049379C"/>
    <w:rsid w:val="004945BA"/>
    <w:rsid w:val="00496D06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726B"/>
    <w:rsid w:val="00503BAB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DA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1B33"/>
    <w:rsid w:val="00753D89"/>
    <w:rsid w:val="00755912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1AD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944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1F12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3D4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2437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DAF"/>
    <w:rsid w:val="00AE56C0"/>
    <w:rsid w:val="00B00914"/>
    <w:rsid w:val="00B01FDE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C77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35E96"/>
    <w:rsid w:val="00D40F3D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833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06F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7792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4F41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92E18732-2F64-4507-83A5-F23076FACF9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15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20</cp:revision>
  <cp:lastPrinted>2013-04-07T03:21:00Z</cp:lastPrinted>
  <dcterms:created xsi:type="dcterms:W3CDTF">2013-03-20T15:48:00Z</dcterms:created>
  <dcterms:modified xsi:type="dcterms:W3CDTF">2013-12-23T08:29:00Z</dcterms:modified>
</cp:coreProperties>
</file>