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7528C9" w:rsidRDefault="002D6C2A" w:rsidP="00FD4A68">
      <w:pPr>
        <w:pStyle w:val="LabTitle"/>
        <w:rPr>
          <w:rStyle w:val="LabTitleInstVersred"/>
          <w:b/>
          <w:noProof/>
          <w:color w:val="auto"/>
          <w:lang w:val="fr-FR"/>
        </w:rPr>
      </w:pPr>
      <w:bookmarkStart w:id="0" w:name="_GoBack"/>
      <w:r w:rsidRPr="007528C9">
        <w:rPr>
          <w:noProof/>
          <w:lang w:val="fr-FR"/>
        </w:rPr>
        <w:t>Travaux pratiques – Utilisation de la calculatrice W</w:t>
      </w:r>
      <w:r w:rsidR="007528C9" w:rsidRPr="007528C9">
        <w:rPr>
          <w:noProof/>
          <w:lang w:val="fr-FR"/>
        </w:rPr>
        <w:t>indows pour les adresses réseau</w:t>
      </w:r>
    </w:p>
    <w:p w:rsidR="00B00B67" w:rsidRPr="007528C9" w:rsidRDefault="0022636B" w:rsidP="00B00B67">
      <w:pPr>
        <w:pStyle w:val="Visual"/>
        <w:rPr>
          <w:noProof/>
          <w:lang w:val="fr-FR"/>
        </w:rPr>
      </w:pPr>
      <w:r w:rsidRPr="007528C9">
        <w:rPr>
          <w:noProof/>
          <w:lang w:eastAsia="en-US"/>
        </w:rPr>
        <w:drawing>
          <wp:inline distT="0" distB="0" distL="0" distR="0">
            <wp:extent cx="3657600" cy="3352800"/>
            <wp:effectExtent l="0" t="0" r="0" b="0"/>
            <wp:docPr id="3" name="Picture 1" descr="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culator"/>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57600" cy="3352800"/>
                    </a:xfrm>
                    <a:prstGeom prst="rect">
                      <a:avLst/>
                    </a:prstGeom>
                    <a:noFill/>
                    <a:ln>
                      <a:noFill/>
                    </a:ln>
                  </pic:spPr>
                </pic:pic>
              </a:graphicData>
            </a:graphic>
          </wp:inline>
        </w:drawing>
      </w:r>
    </w:p>
    <w:p w:rsidR="009D2C27" w:rsidRPr="007528C9" w:rsidRDefault="009D2C27" w:rsidP="0014219C">
      <w:pPr>
        <w:pStyle w:val="LabSection"/>
        <w:rPr>
          <w:noProof/>
          <w:lang w:val="fr-FR"/>
        </w:rPr>
      </w:pPr>
      <w:r w:rsidRPr="007528C9">
        <w:rPr>
          <w:noProof/>
          <w:lang w:val="fr-FR"/>
        </w:rPr>
        <w:t>Objectifs</w:t>
      </w:r>
    </w:p>
    <w:p w:rsidR="00C268D6" w:rsidRPr="007528C9" w:rsidRDefault="00963E34" w:rsidP="00C268D6">
      <w:pPr>
        <w:pStyle w:val="BodyTextL25Bold"/>
        <w:rPr>
          <w:noProof/>
          <w:lang w:val="fr-FR"/>
        </w:rPr>
      </w:pPr>
      <w:r w:rsidRPr="007528C9">
        <w:rPr>
          <w:noProof/>
          <w:lang w:val="fr-FR"/>
        </w:rPr>
        <w:t>1re partie : Accéder à la calculatrice Windows</w:t>
      </w:r>
    </w:p>
    <w:p w:rsidR="006E6581" w:rsidRPr="007528C9" w:rsidRDefault="00CF5536" w:rsidP="006E6581">
      <w:pPr>
        <w:pStyle w:val="BodyTextL25Bold"/>
        <w:rPr>
          <w:noProof/>
          <w:lang w:val="fr-FR"/>
        </w:rPr>
      </w:pPr>
      <w:r w:rsidRPr="007528C9">
        <w:rPr>
          <w:noProof/>
          <w:lang w:val="fr-FR"/>
        </w:rPr>
        <w:t>2e partie : Convertir des valeurs de différents systèmes</w:t>
      </w:r>
    </w:p>
    <w:p w:rsidR="004D73FA" w:rsidRPr="007528C9" w:rsidRDefault="004D73FA" w:rsidP="006E6581">
      <w:pPr>
        <w:pStyle w:val="BodyTextL25Bold"/>
        <w:rPr>
          <w:noProof/>
          <w:lang w:val="fr-FR"/>
        </w:rPr>
      </w:pPr>
      <w:r w:rsidRPr="007528C9">
        <w:rPr>
          <w:noProof/>
          <w:lang w:val="fr-FR"/>
        </w:rPr>
        <w:t>3e partie : Convertir des adresses et masques de sous-réseau IPv4 d</w:t>
      </w:r>
      <w:r w:rsidR="00853098" w:rsidRPr="007528C9">
        <w:rPr>
          <w:noProof/>
          <w:lang w:val="fr-FR"/>
        </w:rPr>
        <w:t>’</w:t>
      </w:r>
      <w:r w:rsidRPr="007528C9">
        <w:rPr>
          <w:noProof/>
          <w:lang w:val="fr-FR"/>
        </w:rPr>
        <w:t>hôte en binaire</w:t>
      </w:r>
    </w:p>
    <w:p w:rsidR="00CF5536" w:rsidRPr="007528C9" w:rsidRDefault="004332D8" w:rsidP="006E6581">
      <w:pPr>
        <w:pStyle w:val="BodyTextL25Bold"/>
        <w:rPr>
          <w:noProof/>
          <w:lang w:val="fr-FR"/>
        </w:rPr>
      </w:pPr>
      <w:r w:rsidRPr="007528C9">
        <w:rPr>
          <w:noProof/>
          <w:lang w:val="fr-FR"/>
        </w:rPr>
        <w:t>4e partie : Déterminer le nombre d</w:t>
      </w:r>
      <w:r w:rsidR="00853098" w:rsidRPr="007528C9">
        <w:rPr>
          <w:noProof/>
          <w:lang w:val="fr-FR"/>
        </w:rPr>
        <w:t>’</w:t>
      </w:r>
      <w:r w:rsidRPr="007528C9">
        <w:rPr>
          <w:noProof/>
          <w:lang w:val="fr-FR"/>
        </w:rPr>
        <w:t>hôtes dans un réseau grâce aux puissances de 2</w:t>
      </w:r>
    </w:p>
    <w:p w:rsidR="002803A1" w:rsidRPr="007528C9" w:rsidRDefault="002803A1" w:rsidP="006E6581">
      <w:pPr>
        <w:pStyle w:val="BodyTextL25Bold"/>
        <w:rPr>
          <w:noProof/>
          <w:lang w:val="fr-FR"/>
        </w:rPr>
      </w:pPr>
      <w:r w:rsidRPr="007528C9">
        <w:rPr>
          <w:noProof/>
          <w:lang w:val="fr-FR"/>
        </w:rPr>
        <w:t>5e partie : Convertir des adresses MAC et des adressesIPv6 en binaire</w:t>
      </w:r>
    </w:p>
    <w:p w:rsidR="00C07FD9" w:rsidRPr="007528C9" w:rsidRDefault="009D2C27" w:rsidP="0014219C">
      <w:pPr>
        <w:pStyle w:val="LabSection"/>
        <w:rPr>
          <w:noProof/>
          <w:lang w:val="fr-FR"/>
        </w:rPr>
      </w:pPr>
      <w:r w:rsidRPr="007528C9">
        <w:rPr>
          <w:noProof/>
          <w:lang w:val="fr-FR"/>
        </w:rPr>
        <w:t>Contexte/scénario</w:t>
      </w:r>
    </w:p>
    <w:p w:rsidR="00BF46EF" w:rsidRPr="007528C9" w:rsidRDefault="00945C68" w:rsidP="00945C68">
      <w:pPr>
        <w:pStyle w:val="BodyTextL25"/>
        <w:rPr>
          <w:noProof/>
          <w:lang w:val="fr-FR"/>
        </w:rPr>
      </w:pPr>
      <w:r w:rsidRPr="007528C9">
        <w:rPr>
          <w:noProof/>
          <w:lang w:val="fr-FR"/>
        </w:rPr>
        <w:t>Les techniciens réseau utilisent des nombres binaires, décimaux et hexadécimaux lors de l</w:t>
      </w:r>
      <w:r w:rsidR="00853098" w:rsidRPr="007528C9">
        <w:rPr>
          <w:noProof/>
          <w:lang w:val="fr-FR"/>
        </w:rPr>
        <w:t>’</w:t>
      </w:r>
      <w:r w:rsidRPr="007528C9">
        <w:rPr>
          <w:noProof/>
          <w:lang w:val="fr-FR"/>
        </w:rPr>
        <w:t>utilisation d</w:t>
      </w:r>
      <w:r w:rsidR="00853098" w:rsidRPr="007528C9">
        <w:rPr>
          <w:noProof/>
          <w:lang w:val="fr-FR"/>
        </w:rPr>
        <w:t>’</w:t>
      </w:r>
      <w:r w:rsidRPr="007528C9">
        <w:rPr>
          <w:noProof/>
          <w:lang w:val="fr-FR"/>
        </w:rPr>
        <w:t>ordinateurs et de périphériques réseau. Microsoft fournit une application Calculatrice qui est intégrée au système d</w:t>
      </w:r>
      <w:r w:rsidR="00853098" w:rsidRPr="007528C9">
        <w:rPr>
          <w:noProof/>
          <w:lang w:val="fr-FR"/>
        </w:rPr>
        <w:t>’</w:t>
      </w:r>
      <w:r w:rsidRPr="007528C9">
        <w:rPr>
          <w:noProof/>
          <w:lang w:val="fr-FR"/>
        </w:rPr>
        <w:t>exploitation. La version Windows 7 de la calculatrice inclut un affichage standard pouvant être utilisé pour effectuer des tâches arithmétiques de base telles que les additions, les soustractions, les multiplications et les divisions. La calculatrice propose également des fonctionnalités de programmation, scientifiques et statistiques avancées.</w:t>
      </w:r>
    </w:p>
    <w:p w:rsidR="005E65B5" w:rsidRPr="007528C9" w:rsidRDefault="00945C68" w:rsidP="00945C68">
      <w:pPr>
        <w:pStyle w:val="BodyTextL25"/>
        <w:rPr>
          <w:noProof/>
          <w:lang w:val="fr-FR"/>
        </w:rPr>
      </w:pPr>
      <w:r w:rsidRPr="007528C9">
        <w:rPr>
          <w:noProof/>
          <w:lang w:val="fr-FR"/>
        </w:rPr>
        <w:t>Dans ces travaux pratiques, vous utiliserez l</w:t>
      </w:r>
      <w:r w:rsidR="00853098" w:rsidRPr="007528C9">
        <w:rPr>
          <w:noProof/>
          <w:lang w:val="fr-FR"/>
        </w:rPr>
        <w:t>’</w:t>
      </w:r>
      <w:r w:rsidRPr="007528C9">
        <w:rPr>
          <w:noProof/>
          <w:lang w:val="fr-FR"/>
        </w:rPr>
        <w:t>affichage de programmation de la calculatrice Windows 7 pour opérer des conversions entre les systèmes numériques binaires, décimaux et hexadécimaux. Vous utiliserez également la fonction de puissance de l</w:t>
      </w:r>
      <w:r w:rsidR="00853098" w:rsidRPr="007528C9">
        <w:rPr>
          <w:noProof/>
          <w:lang w:val="fr-FR"/>
        </w:rPr>
        <w:t>’</w:t>
      </w:r>
      <w:r w:rsidRPr="007528C9">
        <w:rPr>
          <w:noProof/>
          <w:lang w:val="fr-FR"/>
        </w:rPr>
        <w:t>affichage scientifique pour déterminer le nombre d</w:t>
      </w:r>
      <w:r w:rsidR="00853098" w:rsidRPr="007528C9">
        <w:rPr>
          <w:noProof/>
          <w:lang w:val="fr-FR"/>
        </w:rPr>
        <w:t>’</w:t>
      </w:r>
      <w:r w:rsidRPr="007528C9">
        <w:rPr>
          <w:noProof/>
          <w:lang w:val="fr-FR"/>
        </w:rPr>
        <w:t>hôtes accessibles d</w:t>
      </w:r>
      <w:r w:rsidR="00853098" w:rsidRPr="007528C9">
        <w:rPr>
          <w:noProof/>
          <w:lang w:val="fr-FR"/>
        </w:rPr>
        <w:t>’</w:t>
      </w:r>
      <w:r w:rsidRPr="007528C9">
        <w:rPr>
          <w:noProof/>
          <w:lang w:val="fr-FR"/>
        </w:rPr>
        <w:t>après le nombre de bits disponibles.</w:t>
      </w:r>
    </w:p>
    <w:p w:rsidR="007D2AFE" w:rsidRPr="007528C9" w:rsidRDefault="007D2AFE" w:rsidP="0014219C">
      <w:pPr>
        <w:pStyle w:val="LabSection"/>
        <w:rPr>
          <w:noProof/>
          <w:lang w:val="fr-FR"/>
        </w:rPr>
      </w:pPr>
      <w:r w:rsidRPr="007528C9">
        <w:rPr>
          <w:noProof/>
          <w:lang w:val="fr-FR"/>
        </w:rPr>
        <w:t>Ressources requises</w:t>
      </w:r>
    </w:p>
    <w:p w:rsidR="008D7F09" w:rsidRPr="006A45A0" w:rsidRDefault="00510DBF" w:rsidP="00985FB7">
      <w:pPr>
        <w:pStyle w:val="Bulletlevel1"/>
        <w:rPr>
          <w:noProof/>
        </w:rPr>
      </w:pPr>
      <w:r w:rsidRPr="006A45A0">
        <w:rPr>
          <w:noProof/>
        </w:rPr>
        <w:t>1 PC (Windows 7, Windows Vista ou Windows XP)</w:t>
      </w:r>
    </w:p>
    <w:p w:rsidR="00BF46EF" w:rsidRPr="007528C9" w:rsidRDefault="00BF46EF" w:rsidP="00BF46EF">
      <w:pPr>
        <w:pStyle w:val="BodyTextL25"/>
        <w:rPr>
          <w:noProof/>
          <w:lang w:val="fr-FR"/>
        </w:rPr>
      </w:pPr>
      <w:r w:rsidRPr="007528C9">
        <w:rPr>
          <w:b/>
          <w:noProof/>
          <w:lang w:val="fr-FR"/>
        </w:rPr>
        <w:lastRenderedPageBreak/>
        <w:t>Remarque :</w:t>
      </w:r>
      <w:r w:rsidRPr="007528C9">
        <w:rPr>
          <w:noProof/>
          <w:lang w:val="fr-FR"/>
        </w:rPr>
        <w:t xml:space="preserve"> si vous utilisez un autre système d</w:t>
      </w:r>
      <w:r w:rsidR="00853098" w:rsidRPr="007528C9">
        <w:rPr>
          <w:noProof/>
          <w:lang w:val="fr-FR"/>
        </w:rPr>
        <w:t>’</w:t>
      </w:r>
      <w:r w:rsidRPr="007528C9">
        <w:rPr>
          <w:noProof/>
          <w:lang w:val="fr-FR"/>
        </w:rPr>
        <w:t>exploitation que Windows 7, les affichages et les fonctions disponibles sur la calculatrice peuvent être différents de ceux présentés dans ces travaux pratiques. Toutefois, vous devriez pouvoir effectuer les calculs.</w:t>
      </w:r>
    </w:p>
    <w:p w:rsidR="00112AC5" w:rsidRPr="007528C9" w:rsidRDefault="00B070D8" w:rsidP="00B070D8">
      <w:pPr>
        <w:pStyle w:val="PartHead"/>
        <w:numPr>
          <w:ilvl w:val="0"/>
          <w:numId w:val="0"/>
        </w:numPr>
        <w:rPr>
          <w:noProof/>
          <w:lang w:val="fr-FR"/>
        </w:rPr>
      </w:pPr>
      <w:r w:rsidRPr="007528C9">
        <w:rPr>
          <w:noProof/>
          <w:lang w:val="fr-FR"/>
        </w:rPr>
        <w:t xml:space="preserve">1re partie : </w:t>
      </w:r>
      <w:r w:rsidR="001445C1" w:rsidRPr="007528C9">
        <w:rPr>
          <w:noProof/>
          <w:lang w:val="fr-FR"/>
        </w:rPr>
        <w:t>Accéder à la calculatrice Windows</w:t>
      </w:r>
    </w:p>
    <w:p w:rsidR="00112AC5" w:rsidRPr="007528C9" w:rsidRDefault="000410A5" w:rsidP="00580E73">
      <w:pPr>
        <w:pStyle w:val="BodyTextL25"/>
        <w:rPr>
          <w:noProof/>
          <w:lang w:val="fr-FR"/>
        </w:rPr>
      </w:pPr>
      <w:r w:rsidRPr="007528C9">
        <w:rPr>
          <w:noProof/>
          <w:lang w:val="fr-FR"/>
        </w:rPr>
        <w:t>Dans la première partie, vous vous familiariserez avec l</w:t>
      </w:r>
      <w:r w:rsidR="00853098" w:rsidRPr="007528C9">
        <w:rPr>
          <w:noProof/>
          <w:lang w:val="fr-FR"/>
        </w:rPr>
        <w:t>’</w:t>
      </w:r>
      <w:r w:rsidRPr="007528C9">
        <w:rPr>
          <w:noProof/>
          <w:lang w:val="fr-FR"/>
        </w:rPr>
        <w:t>application intégrée de calcul Microsoft Windows et examinerez les modes disponibles.</w:t>
      </w:r>
    </w:p>
    <w:p w:rsidR="0052621F" w:rsidRPr="007528C9" w:rsidRDefault="0052621F" w:rsidP="008013AA">
      <w:pPr>
        <w:pStyle w:val="StepHead"/>
        <w:rPr>
          <w:noProof/>
          <w:lang w:val="fr-FR"/>
        </w:rPr>
      </w:pPr>
      <w:r w:rsidRPr="007528C9">
        <w:rPr>
          <w:noProof/>
          <w:lang w:val="fr-FR"/>
        </w:rPr>
        <w:t>Cliquez sur le bouton Démarrer de Windows et sélectionnez Tous les programmes.</w:t>
      </w:r>
    </w:p>
    <w:p w:rsidR="00A5704B" w:rsidRPr="007528C9" w:rsidRDefault="0052621F" w:rsidP="008013AA">
      <w:pPr>
        <w:pStyle w:val="StepHead"/>
        <w:rPr>
          <w:noProof/>
          <w:lang w:val="fr-FR"/>
        </w:rPr>
      </w:pPr>
      <w:r w:rsidRPr="007528C9">
        <w:rPr>
          <w:noProof/>
          <w:lang w:val="fr-FR"/>
        </w:rPr>
        <w:t>Cliquez sur le dossier Accessoires et sélectionnez Calculatrice.</w:t>
      </w:r>
    </w:p>
    <w:p w:rsidR="000D3FB1" w:rsidRPr="007528C9" w:rsidRDefault="00A5704B" w:rsidP="008013AA">
      <w:pPr>
        <w:pStyle w:val="StepHead"/>
        <w:rPr>
          <w:noProof/>
          <w:lang w:val="fr-FR"/>
        </w:rPr>
      </w:pPr>
      <w:r w:rsidRPr="007528C9">
        <w:rPr>
          <w:noProof/>
          <w:lang w:val="fr-FR"/>
        </w:rPr>
        <w:t>Une fois que la calculatrice apparaît, cliquez sur le menu Affichage.</w:t>
      </w:r>
    </w:p>
    <w:p w:rsidR="00387B57" w:rsidRPr="007528C9" w:rsidRDefault="000D3FB1" w:rsidP="008013AA">
      <w:pPr>
        <w:pStyle w:val="BodyTextL25"/>
        <w:rPr>
          <w:noProof/>
          <w:lang w:val="fr-FR"/>
        </w:rPr>
      </w:pPr>
      <w:r w:rsidRPr="007528C9">
        <w:rPr>
          <w:noProof/>
          <w:lang w:val="fr-FR"/>
        </w:rPr>
        <w:t>Quels sont les quatre modes disponibles ?</w:t>
      </w:r>
    </w:p>
    <w:p w:rsidR="000D3FB1" w:rsidRPr="007528C9" w:rsidRDefault="00387B57" w:rsidP="008013AA">
      <w:pPr>
        <w:pStyle w:val="BodyTextL25"/>
        <w:rPr>
          <w:noProof/>
          <w:lang w:val="fr-FR"/>
        </w:rPr>
      </w:pPr>
      <w:r w:rsidRPr="007528C9">
        <w:rPr>
          <w:noProof/>
          <w:lang w:val="fr-FR"/>
        </w:rPr>
        <w:t>_______________________________________________________________________________________</w:t>
      </w:r>
    </w:p>
    <w:p w:rsidR="00945C68" w:rsidRPr="007528C9" w:rsidRDefault="00352331" w:rsidP="00352331">
      <w:pPr>
        <w:pStyle w:val="BodyTextL25"/>
        <w:rPr>
          <w:noProof/>
          <w:lang w:val="fr-FR"/>
        </w:rPr>
      </w:pPr>
      <w:r w:rsidRPr="007528C9">
        <w:rPr>
          <w:b/>
          <w:noProof/>
          <w:lang w:val="fr-FR"/>
        </w:rPr>
        <w:t>Remarque :</w:t>
      </w:r>
      <w:r w:rsidRPr="007528C9">
        <w:rPr>
          <w:noProof/>
          <w:lang w:val="fr-FR"/>
        </w:rPr>
        <w:t xml:space="preserve"> les modes Programmeur et Scientifique sont utilisés dans le cadre de ces travaux pratiques.</w:t>
      </w:r>
    </w:p>
    <w:p w:rsidR="00112AC5" w:rsidRPr="007528C9" w:rsidRDefault="00E24500" w:rsidP="00E24500">
      <w:pPr>
        <w:pStyle w:val="PartHead"/>
        <w:numPr>
          <w:ilvl w:val="0"/>
          <w:numId w:val="0"/>
        </w:numPr>
        <w:rPr>
          <w:noProof/>
          <w:lang w:val="fr-FR"/>
        </w:rPr>
      </w:pPr>
      <w:r w:rsidRPr="007528C9">
        <w:rPr>
          <w:noProof/>
          <w:lang w:val="fr-FR"/>
        </w:rPr>
        <w:t xml:space="preserve">2e partie : </w:t>
      </w:r>
      <w:r w:rsidR="00387B57" w:rsidRPr="007528C9">
        <w:rPr>
          <w:noProof/>
          <w:lang w:val="fr-FR"/>
        </w:rPr>
        <w:t>Convertir des valeurs de différents systèmes</w:t>
      </w:r>
    </w:p>
    <w:p w:rsidR="00D17238" w:rsidRPr="007528C9" w:rsidRDefault="00D17238" w:rsidP="007528C9">
      <w:pPr>
        <w:pStyle w:val="BodyTextL25"/>
        <w:spacing w:before="100" w:after="100"/>
        <w:rPr>
          <w:noProof/>
          <w:lang w:val="fr-FR"/>
        </w:rPr>
      </w:pPr>
      <w:r w:rsidRPr="007528C9">
        <w:rPr>
          <w:noProof/>
          <w:lang w:val="fr-FR"/>
        </w:rPr>
        <w:t>Dans l</w:t>
      </w:r>
      <w:r w:rsidR="00853098" w:rsidRPr="007528C9">
        <w:rPr>
          <w:noProof/>
          <w:lang w:val="fr-FR"/>
        </w:rPr>
        <w:t>’</w:t>
      </w:r>
      <w:r w:rsidRPr="007528C9">
        <w:rPr>
          <w:noProof/>
          <w:lang w:val="fr-FR"/>
        </w:rPr>
        <w:t>affichage Programmeur de la calculatrice Windows, plusieurs modes de système numérique sont disponibles : Hex (hexadécimal ou base 16), Déc (valeur décimale ou base 10), Oct (octal ou base 8) et Bin (binaire ou base 2).</w:t>
      </w:r>
    </w:p>
    <w:p w:rsidR="00A57E23" w:rsidRPr="007528C9" w:rsidRDefault="006450BE" w:rsidP="007528C9">
      <w:pPr>
        <w:pStyle w:val="BodyTextL25"/>
        <w:spacing w:before="100" w:after="100"/>
        <w:rPr>
          <w:noProof/>
          <w:lang w:val="fr-FR"/>
        </w:rPr>
      </w:pPr>
      <w:r w:rsidRPr="007528C9">
        <w:rPr>
          <w:noProof/>
          <w:lang w:val="fr-FR"/>
        </w:rPr>
        <w:t>Nous sommes habitués à utiliser le système numérique décimal qui utilise les chiffres 0 à 9. Le système de numération décimal est utilisé dans la vie quotidienne pour toutes les opérations de calcul et transactions financières. Les ordinateurs et autres appareils électroniques utilisent le système binaire avec uniquement les chiffres 0 et 1 pour le stockage de données, la transmission de données et les calculs numériques. Tous les calculs informatiques sont en définitive effectués en interne sous forme (numérique) binaire, quelle que soit la façon dont ils sont affichés.</w:t>
      </w:r>
    </w:p>
    <w:p w:rsidR="00A57E23" w:rsidRPr="007528C9" w:rsidRDefault="00EA0EFC" w:rsidP="007528C9">
      <w:pPr>
        <w:pStyle w:val="BodyTextL25"/>
        <w:spacing w:before="100" w:after="100"/>
        <w:rPr>
          <w:noProof/>
          <w:lang w:val="fr-FR"/>
        </w:rPr>
      </w:pPr>
      <w:r w:rsidRPr="007528C9">
        <w:rPr>
          <w:noProof/>
          <w:lang w:val="fr-FR"/>
        </w:rPr>
        <w:t>L</w:t>
      </w:r>
      <w:r w:rsidR="00853098" w:rsidRPr="007528C9">
        <w:rPr>
          <w:noProof/>
          <w:lang w:val="fr-FR"/>
        </w:rPr>
        <w:t>’</w:t>
      </w:r>
      <w:r w:rsidRPr="007528C9">
        <w:rPr>
          <w:noProof/>
          <w:lang w:val="fr-FR"/>
        </w:rPr>
        <w:t>un des inconvénients des nombres binaires est que l</w:t>
      </w:r>
      <w:r w:rsidR="00853098" w:rsidRPr="007528C9">
        <w:rPr>
          <w:noProof/>
          <w:lang w:val="fr-FR"/>
        </w:rPr>
        <w:t>’</w:t>
      </w:r>
      <w:r w:rsidRPr="007528C9">
        <w:rPr>
          <w:noProof/>
          <w:lang w:val="fr-FR"/>
        </w:rPr>
        <w:t>équivalent d</w:t>
      </w:r>
      <w:r w:rsidR="00853098" w:rsidRPr="007528C9">
        <w:rPr>
          <w:noProof/>
          <w:lang w:val="fr-FR"/>
        </w:rPr>
        <w:t>’</w:t>
      </w:r>
      <w:r w:rsidRPr="007528C9">
        <w:rPr>
          <w:noProof/>
          <w:lang w:val="fr-FR"/>
        </w:rPr>
        <w:t>un nombre binaire d</w:t>
      </w:r>
      <w:r w:rsidR="00853098" w:rsidRPr="007528C9">
        <w:rPr>
          <w:noProof/>
          <w:lang w:val="fr-FR"/>
        </w:rPr>
        <w:t>’</w:t>
      </w:r>
      <w:r w:rsidRPr="007528C9">
        <w:rPr>
          <w:noProof/>
          <w:lang w:val="fr-FR"/>
        </w:rPr>
        <w:t>un grand nombre décimal peut se révéler très long. Cela les rend difficiles à lire et à écrire. Un moyen de résoudre ce problème consiste à organiser les nombres binaires par groupes de quatre sous forme de nombres hexadécimaux. Les nombres hexadécimaux sont en base 16, et une combinaison de chiffres entre 0 et 9 et les lettres A à F sont utilisées pour représenter l</w:t>
      </w:r>
      <w:r w:rsidR="00853098" w:rsidRPr="007528C9">
        <w:rPr>
          <w:noProof/>
          <w:lang w:val="fr-FR"/>
        </w:rPr>
        <w:t>’</w:t>
      </w:r>
      <w:r w:rsidRPr="007528C9">
        <w:rPr>
          <w:noProof/>
          <w:lang w:val="fr-FR"/>
        </w:rPr>
        <w:t>équivalent binaire ou décimal. Les caractères hexadécimaux sont utilisés lors de l</w:t>
      </w:r>
      <w:r w:rsidR="00853098" w:rsidRPr="007528C9">
        <w:rPr>
          <w:noProof/>
          <w:lang w:val="fr-FR"/>
        </w:rPr>
        <w:t>’</w:t>
      </w:r>
      <w:r w:rsidRPr="007528C9">
        <w:rPr>
          <w:noProof/>
          <w:lang w:val="fr-FR"/>
        </w:rPr>
        <w:t>écriture ou de l</w:t>
      </w:r>
      <w:r w:rsidR="00853098" w:rsidRPr="007528C9">
        <w:rPr>
          <w:noProof/>
          <w:lang w:val="fr-FR"/>
        </w:rPr>
        <w:t>’</w:t>
      </w:r>
      <w:r w:rsidRPr="007528C9">
        <w:rPr>
          <w:noProof/>
          <w:lang w:val="fr-FR"/>
        </w:rPr>
        <w:t>affichage des adresses IPv6 et MAC.</w:t>
      </w:r>
    </w:p>
    <w:p w:rsidR="00A57E23" w:rsidRPr="007528C9" w:rsidRDefault="003D1A33" w:rsidP="007528C9">
      <w:pPr>
        <w:pStyle w:val="BodyTextL25"/>
        <w:spacing w:before="100" w:after="100"/>
        <w:rPr>
          <w:noProof/>
          <w:lang w:val="fr-FR"/>
        </w:rPr>
      </w:pPr>
      <w:r w:rsidRPr="007528C9">
        <w:rPr>
          <w:noProof/>
          <w:lang w:val="fr-FR"/>
        </w:rPr>
        <w:t>Le système de numération octal est très similaire au système hexadécimal. Les numéros octaux représentent des nombres binaires par groupes de trois. Ce système de numération utilise les chiffres 0 à 7. Les numéros octaux sont également une façon pratique de représenter un grand nombre binaire en groupes plus petits, mais ce système de numération n</w:t>
      </w:r>
      <w:r w:rsidR="00853098" w:rsidRPr="007528C9">
        <w:rPr>
          <w:noProof/>
          <w:lang w:val="fr-FR"/>
        </w:rPr>
        <w:t>’</w:t>
      </w:r>
      <w:r w:rsidRPr="007528C9">
        <w:rPr>
          <w:noProof/>
          <w:lang w:val="fr-FR"/>
        </w:rPr>
        <w:t>est pas souvent utilisé.</w:t>
      </w:r>
    </w:p>
    <w:p w:rsidR="00F3295B" w:rsidRPr="007528C9" w:rsidRDefault="00F3295B" w:rsidP="007528C9">
      <w:pPr>
        <w:pStyle w:val="BodyTextL25"/>
        <w:spacing w:before="100" w:after="100"/>
        <w:rPr>
          <w:noProof/>
          <w:lang w:val="fr-FR"/>
        </w:rPr>
      </w:pPr>
      <w:r w:rsidRPr="007528C9">
        <w:rPr>
          <w:noProof/>
          <w:lang w:val="fr-FR"/>
        </w:rPr>
        <w:t>Dans ces travaux pratiques, la calculatrice de Windows 7 est utilisée pour effectuer des conversions entre les différents systèmes de numération en mode Programmeur.</w:t>
      </w:r>
    </w:p>
    <w:p w:rsidR="00123D26" w:rsidRPr="007528C9" w:rsidRDefault="00123D26" w:rsidP="007528C9">
      <w:pPr>
        <w:pStyle w:val="SubStepAlpha"/>
        <w:spacing w:before="100" w:after="100"/>
        <w:rPr>
          <w:noProof/>
          <w:lang w:val="fr-FR"/>
        </w:rPr>
      </w:pPr>
      <w:r w:rsidRPr="007528C9">
        <w:rPr>
          <w:noProof/>
          <w:lang w:val="fr-FR"/>
        </w:rPr>
        <w:t xml:space="preserve">Cliquez sur le menu </w:t>
      </w:r>
      <w:r w:rsidRPr="007528C9">
        <w:rPr>
          <w:b/>
          <w:noProof/>
          <w:lang w:val="fr-FR"/>
        </w:rPr>
        <w:t>Affichage</w:t>
      </w:r>
      <w:r w:rsidRPr="007528C9">
        <w:rPr>
          <w:noProof/>
          <w:lang w:val="fr-FR"/>
        </w:rPr>
        <w:t xml:space="preserve"> et sélectionnez</w:t>
      </w:r>
      <w:r w:rsidRPr="007528C9">
        <w:rPr>
          <w:b/>
          <w:noProof/>
          <w:lang w:val="fr-FR"/>
        </w:rPr>
        <w:t xml:space="preserve"> Programmeur </w:t>
      </w:r>
      <w:r w:rsidRPr="007528C9">
        <w:rPr>
          <w:noProof/>
          <w:lang w:val="fr-FR"/>
        </w:rPr>
        <w:t>pour passer en mode de programmation.</w:t>
      </w:r>
    </w:p>
    <w:p w:rsidR="00123D26" w:rsidRPr="007528C9" w:rsidRDefault="00123D26" w:rsidP="007528C9">
      <w:pPr>
        <w:pStyle w:val="BodyTextL25"/>
        <w:spacing w:before="100" w:after="100"/>
        <w:rPr>
          <w:noProof/>
          <w:lang w:val="fr-FR"/>
        </w:rPr>
      </w:pPr>
      <w:r w:rsidRPr="007528C9">
        <w:rPr>
          <w:b/>
          <w:noProof/>
          <w:lang w:val="fr-FR"/>
        </w:rPr>
        <w:t>Remarque :</w:t>
      </w:r>
      <w:r w:rsidRPr="007528C9">
        <w:rPr>
          <w:noProof/>
          <w:lang w:val="fr-FR"/>
        </w:rPr>
        <w:t xml:space="preserve"> dans Windows XP et Windows Vista, seuls deux modes, Standard et Scientifique, sont disponibles. Si vous utilisez l</w:t>
      </w:r>
      <w:r w:rsidR="00853098" w:rsidRPr="007528C9">
        <w:rPr>
          <w:noProof/>
          <w:lang w:val="fr-FR"/>
        </w:rPr>
        <w:t>’</w:t>
      </w:r>
      <w:r w:rsidRPr="007528C9">
        <w:rPr>
          <w:noProof/>
          <w:lang w:val="fr-FR"/>
        </w:rPr>
        <w:t>un de ces systèmes d</w:t>
      </w:r>
      <w:r w:rsidR="00853098" w:rsidRPr="007528C9">
        <w:rPr>
          <w:noProof/>
          <w:lang w:val="fr-FR"/>
        </w:rPr>
        <w:t>’</w:t>
      </w:r>
      <w:r w:rsidRPr="007528C9">
        <w:rPr>
          <w:noProof/>
          <w:lang w:val="fr-FR"/>
        </w:rPr>
        <w:t>exploitation, vous pouvez utiliser le mode Scientifique pour effectuer ces travaux pratiques.</w:t>
      </w:r>
    </w:p>
    <w:p w:rsidR="00F3295B" w:rsidRPr="007528C9" w:rsidRDefault="006B312B" w:rsidP="007528C9">
      <w:pPr>
        <w:pStyle w:val="BodyTextL50"/>
        <w:spacing w:before="100" w:after="100"/>
        <w:rPr>
          <w:rStyle w:val="AnswerGray"/>
          <w:noProof/>
          <w:shd w:val="clear" w:color="auto" w:fill="auto"/>
          <w:lang w:val="fr-FR"/>
        </w:rPr>
      </w:pPr>
      <w:r w:rsidRPr="007528C9">
        <w:rPr>
          <w:noProof/>
          <w:lang w:val="fr-FR"/>
        </w:rPr>
        <w:t>Quel est le système de numérotation actif ? _______________</w:t>
      </w:r>
      <w:r w:rsidR="007528C9" w:rsidRPr="007528C9">
        <w:rPr>
          <w:noProof/>
          <w:lang w:val="fr-FR"/>
        </w:rPr>
        <w:t>_________________________________</w:t>
      </w:r>
    </w:p>
    <w:p w:rsidR="006B312B" w:rsidRPr="007528C9" w:rsidRDefault="006B312B" w:rsidP="007528C9">
      <w:pPr>
        <w:pStyle w:val="BodyTextL50"/>
        <w:spacing w:before="100" w:after="100"/>
        <w:rPr>
          <w:noProof/>
          <w:lang w:val="fr-FR"/>
        </w:rPr>
      </w:pPr>
      <w:r w:rsidRPr="007528C9">
        <w:rPr>
          <w:noProof/>
          <w:lang w:val="fr-FR"/>
        </w:rPr>
        <w:t>En mode Décimal, quels sont les chiffres disponibles sur le pavé numéri</w:t>
      </w:r>
      <w:r w:rsidR="007528C9" w:rsidRPr="007528C9">
        <w:rPr>
          <w:noProof/>
          <w:lang w:val="fr-FR"/>
        </w:rPr>
        <w:t>que ? _____________________</w:t>
      </w:r>
    </w:p>
    <w:p w:rsidR="006B312B" w:rsidRPr="007528C9" w:rsidRDefault="006B312B" w:rsidP="007528C9">
      <w:pPr>
        <w:pStyle w:val="SubStepAlpha"/>
        <w:spacing w:before="100" w:after="100"/>
        <w:rPr>
          <w:noProof/>
          <w:spacing w:val="-2"/>
          <w:lang w:val="fr-FR"/>
        </w:rPr>
      </w:pPr>
      <w:r w:rsidRPr="007528C9">
        <w:rPr>
          <w:noProof/>
          <w:spacing w:val="-2"/>
          <w:lang w:val="fr-FR"/>
        </w:rPr>
        <w:t>Sélectionnez la case d</w:t>
      </w:r>
      <w:r w:rsidR="00853098" w:rsidRPr="007528C9">
        <w:rPr>
          <w:noProof/>
          <w:spacing w:val="-2"/>
          <w:lang w:val="fr-FR"/>
        </w:rPr>
        <w:t>’</w:t>
      </w:r>
      <w:r w:rsidRPr="007528C9">
        <w:rPr>
          <w:noProof/>
          <w:spacing w:val="-2"/>
          <w:lang w:val="fr-FR"/>
        </w:rPr>
        <w:t xml:space="preserve">option </w:t>
      </w:r>
      <w:r w:rsidRPr="007528C9">
        <w:rPr>
          <w:b/>
          <w:noProof/>
          <w:spacing w:val="-2"/>
          <w:lang w:val="fr-FR"/>
        </w:rPr>
        <w:t>Bin</w:t>
      </w:r>
      <w:r w:rsidRPr="007528C9">
        <w:rPr>
          <w:noProof/>
          <w:spacing w:val="-2"/>
          <w:lang w:val="fr-FR"/>
        </w:rPr>
        <w:t xml:space="preserve"> (binaire). Quels chiffres sont-ils actifs sur le pavé numérique maintenant ?</w:t>
      </w:r>
    </w:p>
    <w:p w:rsidR="006B312B" w:rsidRPr="007528C9" w:rsidRDefault="006B312B" w:rsidP="007528C9">
      <w:pPr>
        <w:pStyle w:val="BodyTextL50"/>
        <w:spacing w:before="100" w:after="100"/>
        <w:rPr>
          <w:rStyle w:val="AnswerGray"/>
          <w:noProof/>
          <w:lang w:val="fr-FR"/>
        </w:rPr>
      </w:pPr>
      <w:r w:rsidRPr="007528C9">
        <w:rPr>
          <w:noProof/>
          <w:lang w:val="fr-FR"/>
        </w:rPr>
        <w:t>_____</w:t>
      </w:r>
      <w:r w:rsidR="007528C9" w:rsidRPr="007528C9">
        <w:rPr>
          <w:noProof/>
          <w:lang w:val="fr-FR"/>
        </w:rPr>
        <w:t>_______________________________</w:t>
      </w:r>
    </w:p>
    <w:p w:rsidR="00F37E00" w:rsidRPr="007528C9" w:rsidRDefault="00F37E00" w:rsidP="00973DBE">
      <w:pPr>
        <w:pStyle w:val="SubStepAlpha"/>
        <w:numPr>
          <w:ilvl w:val="0"/>
          <w:numId w:val="0"/>
        </w:numPr>
        <w:ind w:left="720"/>
        <w:rPr>
          <w:noProof/>
          <w:lang w:val="fr-FR"/>
        </w:rPr>
      </w:pPr>
      <w:r w:rsidRPr="007528C9">
        <w:rPr>
          <w:noProof/>
          <w:lang w:val="fr-FR"/>
        </w:rPr>
        <w:lastRenderedPageBreak/>
        <w:t>À votre avis, pourquoi les autres chiffres sont-ils grisés ?</w:t>
      </w:r>
    </w:p>
    <w:p w:rsidR="006B312B" w:rsidRPr="007528C9" w:rsidRDefault="00F37E00" w:rsidP="00F37E00">
      <w:pPr>
        <w:pStyle w:val="BodyTextL50"/>
        <w:rPr>
          <w:noProof/>
          <w:lang w:val="fr-FR"/>
        </w:rPr>
      </w:pPr>
      <w:r w:rsidRPr="007528C9">
        <w:rPr>
          <w:noProof/>
          <w:lang w:val="fr-FR"/>
        </w:rPr>
        <w:t>____________________________________________________________________________________</w:t>
      </w:r>
    </w:p>
    <w:p w:rsidR="009F5F35" w:rsidRPr="007528C9" w:rsidRDefault="009F5F35" w:rsidP="009F5F35">
      <w:pPr>
        <w:pStyle w:val="SubStepAlpha"/>
        <w:rPr>
          <w:noProof/>
          <w:lang w:val="fr-FR"/>
        </w:rPr>
      </w:pPr>
      <w:r w:rsidRPr="007528C9">
        <w:rPr>
          <w:noProof/>
          <w:lang w:val="fr-FR"/>
        </w:rPr>
        <w:t>Cliquez sur la case d</w:t>
      </w:r>
      <w:r w:rsidR="00853098" w:rsidRPr="007528C9">
        <w:rPr>
          <w:noProof/>
          <w:lang w:val="fr-FR"/>
        </w:rPr>
        <w:t>’</w:t>
      </w:r>
      <w:r w:rsidRPr="007528C9">
        <w:rPr>
          <w:noProof/>
          <w:lang w:val="fr-FR"/>
        </w:rPr>
        <w:t xml:space="preserve">option </w:t>
      </w:r>
      <w:r w:rsidRPr="007528C9">
        <w:rPr>
          <w:b/>
          <w:noProof/>
          <w:lang w:val="fr-FR"/>
        </w:rPr>
        <w:t xml:space="preserve">Hex </w:t>
      </w:r>
      <w:r w:rsidRPr="007528C9">
        <w:rPr>
          <w:noProof/>
          <w:lang w:val="fr-FR"/>
        </w:rPr>
        <w:t>(hexadécimal). Quels caractères sont-ils activés sur le pavé numérique maintenant ?</w:t>
      </w:r>
    </w:p>
    <w:p w:rsidR="009F5F35" w:rsidRPr="007528C9" w:rsidRDefault="009F5F35" w:rsidP="009F5F35">
      <w:pPr>
        <w:pStyle w:val="BodyTextL50"/>
        <w:rPr>
          <w:noProof/>
          <w:lang w:val="fr-FR"/>
        </w:rPr>
      </w:pPr>
      <w:r w:rsidRPr="007528C9">
        <w:rPr>
          <w:noProof/>
          <w:lang w:val="fr-FR"/>
        </w:rPr>
        <w:t>____________________________________________________________________________________</w:t>
      </w:r>
    </w:p>
    <w:p w:rsidR="00F156F9" w:rsidRPr="007528C9" w:rsidRDefault="00F35203" w:rsidP="00A86EB9">
      <w:pPr>
        <w:pStyle w:val="SubStepAlpha"/>
        <w:rPr>
          <w:noProof/>
          <w:lang w:val="fr-FR"/>
        </w:rPr>
      </w:pPr>
      <w:r w:rsidRPr="007528C9">
        <w:rPr>
          <w:noProof/>
          <w:lang w:val="fr-FR"/>
        </w:rPr>
        <w:t>Cliquez sur la case d</w:t>
      </w:r>
      <w:r w:rsidR="00853098" w:rsidRPr="007528C9">
        <w:rPr>
          <w:noProof/>
          <w:lang w:val="fr-FR"/>
        </w:rPr>
        <w:t>’</w:t>
      </w:r>
      <w:r w:rsidRPr="007528C9">
        <w:rPr>
          <w:noProof/>
          <w:lang w:val="fr-FR"/>
        </w:rPr>
        <w:t xml:space="preserve">option </w:t>
      </w:r>
      <w:r w:rsidRPr="007528C9">
        <w:rPr>
          <w:b/>
          <w:noProof/>
          <w:lang w:val="fr-FR"/>
        </w:rPr>
        <w:t>Déc</w:t>
      </w:r>
      <w:r w:rsidRPr="007528C9">
        <w:rPr>
          <w:noProof/>
          <w:lang w:val="fr-FR"/>
        </w:rPr>
        <w:t>. À l</w:t>
      </w:r>
      <w:r w:rsidR="00853098" w:rsidRPr="007528C9">
        <w:rPr>
          <w:noProof/>
          <w:lang w:val="fr-FR"/>
        </w:rPr>
        <w:t>’</w:t>
      </w:r>
      <w:r w:rsidRPr="007528C9">
        <w:rPr>
          <w:noProof/>
          <w:lang w:val="fr-FR"/>
        </w:rPr>
        <w:t>aide de la souris, cliquez sur le chiffre </w:t>
      </w:r>
      <w:r w:rsidRPr="007528C9">
        <w:rPr>
          <w:b/>
          <w:noProof/>
          <w:lang w:val="fr-FR"/>
        </w:rPr>
        <w:t>1</w:t>
      </w:r>
      <w:r w:rsidRPr="007528C9">
        <w:rPr>
          <w:noProof/>
          <w:lang w:val="fr-FR"/>
        </w:rPr>
        <w:t xml:space="preserve"> suivi du chiffre </w:t>
      </w:r>
      <w:r w:rsidRPr="007528C9">
        <w:rPr>
          <w:b/>
          <w:noProof/>
          <w:lang w:val="fr-FR"/>
        </w:rPr>
        <w:t>5</w:t>
      </w:r>
      <w:r w:rsidRPr="007528C9">
        <w:rPr>
          <w:noProof/>
          <w:lang w:val="fr-FR"/>
        </w:rPr>
        <w:t xml:space="preserve"> sur le pavé numérique. Le nombre décimal 15 est à présent ajouté.</w:t>
      </w:r>
    </w:p>
    <w:p w:rsidR="00F156F9" w:rsidRPr="007528C9" w:rsidRDefault="00F156F9" w:rsidP="00F156F9">
      <w:pPr>
        <w:pStyle w:val="BodyTextL50"/>
        <w:rPr>
          <w:noProof/>
          <w:lang w:val="fr-FR"/>
        </w:rPr>
      </w:pPr>
      <w:r w:rsidRPr="007528C9">
        <w:rPr>
          <w:b/>
          <w:noProof/>
          <w:lang w:val="fr-FR"/>
        </w:rPr>
        <w:t>Remarque :</w:t>
      </w:r>
      <w:r w:rsidRPr="007528C9">
        <w:rPr>
          <w:noProof/>
          <w:lang w:val="fr-FR"/>
        </w:rPr>
        <w:t xml:space="preserve"> les chiffres et lettres du clavier peuvent être utilisés pour entrer les valeurs. Si vous utilisez le clavier numérique, entrez le nombre </w:t>
      </w:r>
      <w:r w:rsidRPr="007528C9">
        <w:rPr>
          <w:b/>
          <w:noProof/>
          <w:lang w:val="fr-FR"/>
        </w:rPr>
        <w:t>15</w:t>
      </w:r>
      <w:r w:rsidRPr="007528C9">
        <w:rPr>
          <w:noProof/>
          <w:lang w:val="fr-FR"/>
        </w:rPr>
        <w:t>. Si le nombre n</w:t>
      </w:r>
      <w:r w:rsidR="00853098" w:rsidRPr="007528C9">
        <w:rPr>
          <w:noProof/>
          <w:lang w:val="fr-FR"/>
        </w:rPr>
        <w:t>’</w:t>
      </w:r>
      <w:r w:rsidRPr="007528C9">
        <w:rPr>
          <w:noProof/>
          <w:lang w:val="fr-FR"/>
        </w:rPr>
        <w:t xml:space="preserve">entre pas dans la calculatrice, appuyez sur la touche </w:t>
      </w:r>
      <w:r w:rsidRPr="007528C9">
        <w:rPr>
          <w:b/>
          <w:bCs/>
          <w:noProof/>
          <w:lang w:val="fr-FR"/>
        </w:rPr>
        <w:t>Verr. num.</w:t>
      </w:r>
      <w:r w:rsidRPr="007528C9">
        <w:rPr>
          <w:noProof/>
          <w:lang w:val="fr-FR"/>
        </w:rPr>
        <w:t xml:space="preserve"> pour activer le pavé numérique.</w:t>
      </w:r>
    </w:p>
    <w:p w:rsidR="00F35203" w:rsidRPr="007528C9" w:rsidRDefault="00F35203" w:rsidP="00F156F9">
      <w:pPr>
        <w:pStyle w:val="BodyTextL50"/>
        <w:rPr>
          <w:noProof/>
          <w:lang w:val="fr-FR"/>
        </w:rPr>
      </w:pPr>
      <w:r w:rsidRPr="007528C9">
        <w:rPr>
          <w:noProof/>
          <w:lang w:val="fr-FR"/>
        </w:rPr>
        <w:t>Sélectionnez la case d</w:t>
      </w:r>
      <w:r w:rsidR="00853098" w:rsidRPr="007528C9">
        <w:rPr>
          <w:noProof/>
          <w:lang w:val="fr-FR"/>
        </w:rPr>
        <w:t>’</w:t>
      </w:r>
      <w:r w:rsidRPr="007528C9">
        <w:rPr>
          <w:noProof/>
          <w:lang w:val="fr-FR"/>
        </w:rPr>
        <w:t xml:space="preserve">option </w:t>
      </w:r>
      <w:r w:rsidRPr="007528C9">
        <w:rPr>
          <w:b/>
          <w:noProof/>
          <w:lang w:val="fr-FR"/>
        </w:rPr>
        <w:t>Bin</w:t>
      </w:r>
      <w:r w:rsidRPr="007528C9">
        <w:rPr>
          <w:noProof/>
          <w:lang w:val="fr-FR"/>
        </w:rPr>
        <w:t xml:space="preserve"> (binaire). Qu</w:t>
      </w:r>
      <w:r w:rsidR="00853098" w:rsidRPr="007528C9">
        <w:rPr>
          <w:noProof/>
          <w:lang w:val="fr-FR"/>
        </w:rPr>
        <w:t>’</w:t>
      </w:r>
      <w:r w:rsidRPr="007528C9">
        <w:rPr>
          <w:noProof/>
          <w:lang w:val="fr-FR"/>
        </w:rPr>
        <w:t>est-il arrivé au nombre 15 ?</w:t>
      </w:r>
    </w:p>
    <w:p w:rsidR="00F35203" w:rsidRPr="007528C9" w:rsidRDefault="00F35203" w:rsidP="00F35203">
      <w:pPr>
        <w:pStyle w:val="BodyTextL50"/>
        <w:rPr>
          <w:noProof/>
          <w:lang w:val="fr-FR"/>
        </w:rPr>
      </w:pPr>
      <w:r w:rsidRPr="007528C9">
        <w:rPr>
          <w:noProof/>
          <w:lang w:val="fr-FR"/>
        </w:rPr>
        <w:t>____________________________________________________________________________________</w:t>
      </w:r>
    </w:p>
    <w:p w:rsidR="000A5C89" w:rsidRPr="007528C9" w:rsidRDefault="001336B6" w:rsidP="001E4247">
      <w:pPr>
        <w:pStyle w:val="SubStepAlpha"/>
        <w:rPr>
          <w:noProof/>
          <w:spacing w:val="-2"/>
          <w:lang w:val="fr-FR"/>
        </w:rPr>
      </w:pPr>
      <w:r w:rsidRPr="007528C9">
        <w:rPr>
          <w:noProof/>
          <w:spacing w:val="-2"/>
          <w:lang w:val="fr-FR"/>
        </w:rPr>
        <w:t>Les nombres sont convertis d</w:t>
      </w:r>
      <w:r w:rsidR="00853098" w:rsidRPr="007528C9">
        <w:rPr>
          <w:noProof/>
          <w:spacing w:val="-2"/>
          <w:lang w:val="fr-FR"/>
        </w:rPr>
        <w:t>’</w:t>
      </w:r>
      <w:r w:rsidRPr="007528C9">
        <w:rPr>
          <w:noProof/>
          <w:spacing w:val="-2"/>
          <w:lang w:val="fr-FR"/>
        </w:rPr>
        <w:t>un système de numération en un autre en sélectionnant le mode numérique souhaité. Cliquez à nouveau sur la case d</w:t>
      </w:r>
      <w:r w:rsidR="00853098" w:rsidRPr="007528C9">
        <w:rPr>
          <w:noProof/>
          <w:spacing w:val="-2"/>
          <w:lang w:val="fr-FR"/>
        </w:rPr>
        <w:t>’</w:t>
      </w:r>
      <w:r w:rsidRPr="007528C9">
        <w:rPr>
          <w:noProof/>
          <w:spacing w:val="-2"/>
          <w:lang w:val="fr-FR"/>
        </w:rPr>
        <w:t xml:space="preserve">option </w:t>
      </w:r>
      <w:r w:rsidRPr="007528C9">
        <w:rPr>
          <w:b/>
          <w:noProof/>
          <w:spacing w:val="-2"/>
          <w:lang w:val="fr-FR"/>
        </w:rPr>
        <w:t>Déc</w:t>
      </w:r>
      <w:r w:rsidRPr="007528C9">
        <w:rPr>
          <w:noProof/>
          <w:spacing w:val="-2"/>
          <w:lang w:val="fr-FR"/>
        </w:rPr>
        <w:t>. Le nombre est reconverti au format décimal.</w:t>
      </w:r>
    </w:p>
    <w:p w:rsidR="00123D26" w:rsidRPr="007528C9" w:rsidRDefault="00B56B9A" w:rsidP="00123D26">
      <w:pPr>
        <w:pStyle w:val="SubStepAlpha"/>
        <w:rPr>
          <w:rStyle w:val="AnswerGray"/>
          <w:noProof/>
          <w:shd w:val="clear" w:color="auto" w:fill="auto"/>
          <w:lang w:val="fr-FR"/>
        </w:rPr>
      </w:pPr>
      <w:r w:rsidRPr="007528C9">
        <w:rPr>
          <w:noProof/>
          <w:lang w:val="fr-FR"/>
        </w:rPr>
        <w:t>Cliquez sur la case d</w:t>
      </w:r>
      <w:r w:rsidR="00853098" w:rsidRPr="007528C9">
        <w:rPr>
          <w:noProof/>
          <w:lang w:val="fr-FR"/>
        </w:rPr>
        <w:t>’</w:t>
      </w:r>
      <w:r w:rsidRPr="007528C9">
        <w:rPr>
          <w:noProof/>
          <w:lang w:val="fr-FR"/>
        </w:rPr>
        <w:t xml:space="preserve">option </w:t>
      </w:r>
      <w:r w:rsidRPr="007528C9">
        <w:rPr>
          <w:rFonts w:cs="Arial"/>
          <w:b/>
          <w:noProof/>
          <w:szCs w:val="20"/>
          <w:lang w:val="fr-FR"/>
        </w:rPr>
        <w:t>Hex</w:t>
      </w:r>
      <w:r w:rsidRPr="007528C9">
        <w:rPr>
          <w:rFonts w:cs="Arial"/>
          <w:noProof/>
          <w:szCs w:val="20"/>
          <w:lang w:val="fr-FR"/>
        </w:rPr>
        <w:t xml:space="preserve"> pour passer en mode Hexadécimal. Quel caractère hexadécimal (0 à 9 ou A à F) représente la valeur décimale 15 ? _______________________ </w:t>
      </w:r>
    </w:p>
    <w:p w:rsidR="00123D26" w:rsidRPr="007528C9" w:rsidRDefault="00123D26" w:rsidP="00123D26">
      <w:pPr>
        <w:pStyle w:val="SubStepAlpha"/>
        <w:rPr>
          <w:noProof/>
          <w:lang w:val="fr-FR"/>
        </w:rPr>
      </w:pPr>
      <w:r w:rsidRPr="007528C9">
        <w:rPr>
          <w:noProof/>
          <w:lang w:val="fr-FR"/>
        </w:rPr>
        <w:t>Pendant que vous passiez d</w:t>
      </w:r>
      <w:r w:rsidR="00853098" w:rsidRPr="007528C9">
        <w:rPr>
          <w:noProof/>
          <w:lang w:val="fr-FR"/>
        </w:rPr>
        <w:t>’</w:t>
      </w:r>
      <w:r w:rsidRPr="007528C9">
        <w:rPr>
          <w:noProof/>
          <w:lang w:val="fr-FR"/>
        </w:rPr>
        <w:t>un système de numération à l</w:t>
      </w:r>
      <w:r w:rsidR="00853098" w:rsidRPr="007528C9">
        <w:rPr>
          <w:noProof/>
          <w:lang w:val="fr-FR"/>
        </w:rPr>
        <w:t>’</w:t>
      </w:r>
      <w:r w:rsidRPr="007528C9">
        <w:rPr>
          <w:noProof/>
          <w:lang w:val="fr-FR"/>
        </w:rPr>
        <w:t>autre, vous avez peut-être remarqué que le nombre binaire 1111 s</w:t>
      </w:r>
      <w:r w:rsidR="00853098" w:rsidRPr="007528C9">
        <w:rPr>
          <w:noProof/>
          <w:lang w:val="fr-FR"/>
        </w:rPr>
        <w:t>’</w:t>
      </w:r>
      <w:r w:rsidRPr="007528C9">
        <w:rPr>
          <w:noProof/>
          <w:lang w:val="fr-FR"/>
        </w:rPr>
        <w:t>affichait pendant la conversion. Ceci vous permet d</w:t>
      </w:r>
      <w:r w:rsidR="00853098" w:rsidRPr="007528C9">
        <w:rPr>
          <w:noProof/>
          <w:lang w:val="fr-FR"/>
        </w:rPr>
        <w:t>’</w:t>
      </w:r>
      <w:r w:rsidRPr="007528C9">
        <w:rPr>
          <w:noProof/>
          <w:lang w:val="fr-FR"/>
        </w:rPr>
        <w:t>associer les chiffres binaires à</w:t>
      </w:r>
      <w:r w:rsidR="007528C9" w:rsidRPr="007528C9">
        <w:rPr>
          <w:noProof/>
          <w:lang w:val="fr-FR"/>
        </w:rPr>
        <w:t> </w:t>
      </w:r>
      <w:r w:rsidRPr="007528C9">
        <w:rPr>
          <w:noProof/>
          <w:lang w:val="fr-FR"/>
        </w:rPr>
        <w:t>d</w:t>
      </w:r>
      <w:r w:rsidR="00853098" w:rsidRPr="007528C9">
        <w:rPr>
          <w:noProof/>
          <w:lang w:val="fr-FR"/>
        </w:rPr>
        <w:t>’</w:t>
      </w:r>
      <w:r w:rsidRPr="007528C9">
        <w:rPr>
          <w:noProof/>
          <w:lang w:val="fr-FR"/>
        </w:rPr>
        <w:t>autres valeurs de système de numération. Chaque ensemble de 4 bits représente un caractère hexadécimal ou éventuellement plusieurs caractères décimaux.</w:t>
      </w:r>
    </w:p>
    <w:p w:rsidR="00F156F9" w:rsidRPr="007528C9" w:rsidRDefault="0022636B" w:rsidP="00F156F9">
      <w:pPr>
        <w:pStyle w:val="Visual"/>
        <w:rPr>
          <w:noProof/>
          <w:lang w:val="fr-FR"/>
        </w:rPr>
      </w:pPr>
      <w:r w:rsidRPr="007528C9">
        <w:rPr>
          <w:noProof/>
          <w:lang w:eastAsia="en-US"/>
        </w:rPr>
        <w:drawing>
          <wp:inline distT="0" distB="0" distL="0" distR="0">
            <wp:extent cx="3657600" cy="1057275"/>
            <wp:effectExtent l="0" t="0" r="0" b="9525"/>
            <wp:docPr id="1" name="Picture 2" descr="Calculator_15_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lculator_15_cropped"/>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57600" cy="1057275"/>
                    </a:xfrm>
                    <a:prstGeom prst="rect">
                      <a:avLst/>
                    </a:prstGeom>
                    <a:noFill/>
                    <a:ln>
                      <a:noFill/>
                    </a:ln>
                  </pic:spPr>
                </pic:pic>
              </a:graphicData>
            </a:graphic>
          </wp:inline>
        </w:drawing>
      </w:r>
    </w:p>
    <w:p w:rsidR="00F63203" w:rsidRPr="007528C9" w:rsidRDefault="005C6CD3" w:rsidP="00123D26">
      <w:pPr>
        <w:pStyle w:val="SubStepAlpha"/>
        <w:rPr>
          <w:noProof/>
          <w:lang w:val="fr-FR"/>
        </w:rPr>
      </w:pPr>
      <w:r w:rsidRPr="007528C9">
        <w:rPr>
          <w:noProof/>
          <w:lang w:val="fr-FR"/>
        </w:rPr>
        <w:t xml:space="preserve">Effacez les valeurs dans la fenêtre en cliquant sur </w:t>
      </w:r>
      <w:r w:rsidRPr="007528C9">
        <w:rPr>
          <w:b/>
          <w:noProof/>
          <w:lang w:val="fr-FR"/>
        </w:rPr>
        <w:t>C</w:t>
      </w:r>
      <w:r w:rsidRPr="007528C9">
        <w:rPr>
          <w:noProof/>
          <w:lang w:val="fr-FR"/>
        </w:rPr>
        <w:t xml:space="preserve"> au-dessus du 9 sur le clavier de la calculatrice. Convertissez les nombres suivants entre les systèmes de numération binaire, décimal et hexadécimal.</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99"/>
        <w:gridCol w:w="1599"/>
        <w:gridCol w:w="1598"/>
      </w:tblGrid>
      <w:tr w:rsidR="005C6CD3" w:rsidRPr="007528C9" w:rsidTr="00902932">
        <w:trPr>
          <w:cantSplit/>
          <w:jc w:val="center"/>
        </w:trPr>
        <w:tc>
          <w:tcPr>
            <w:tcW w:w="159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C6CD3" w:rsidRPr="007528C9" w:rsidRDefault="005C6CD3" w:rsidP="007528C9">
            <w:pPr>
              <w:pStyle w:val="TableHeading"/>
              <w:keepNext w:val="0"/>
              <w:rPr>
                <w:noProof/>
                <w:lang w:val="fr-FR"/>
              </w:rPr>
            </w:pPr>
            <w:r w:rsidRPr="007528C9">
              <w:rPr>
                <w:noProof/>
                <w:lang w:val="fr-FR"/>
              </w:rPr>
              <w:t>Décimal</w:t>
            </w:r>
          </w:p>
        </w:tc>
        <w:tc>
          <w:tcPr>
            <w:tcW w:w="159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C6CD3" w:rsidRPr="007528C9" w:rsidRDefault="005C6CD3" w:rsidP="007528C9">
            <w:pPr>
              <w:pStyle w:val="TableHeading"/>
              <w:keepNext w:val="0"/>
              <w:rPr>
                <w:noProof/>
                <w:lang w:val="fr-FR"/>
              </w:rPr>
            </w:pPr>
            <w:r w:rsidRPr="007528C9">
              <w:rPr>
                <w:noProof/>
                <w:lang w:val="fr-FR"/>
              </w:rPr>
              <w:t>Binaire</w:t>
            </w:r>
          </w:p>
        </w:tc>
        <w:tc>
          <w:tcPr>
            <w:tcW w:w="15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C6CD3" w:rsidRPr="007528C9" w:rsidRDefault="005C6CD3" w:rsidP="007528C9">
            <w:pPr>
              <w:pStyle w:val="TableHeading"/>
              <w:keepNext w:val="0"/>
              <w:rPr>
                <w:noProof/>
                <w:lang w:val="fr-FR"/>
              </w:rPr>
            </w:pPr>
            <w:r w:rsidRPr="007528C9">
              <w:rPr>
                <w:noProof/>
                <w:lang w:val="fr-FR"/>
              </w:rPr>
              <w:t>Hexadécimal</w:t>
            </w:r>
          </w:p>
        </w:tc>
      </w:tr>
      <w:tr w:rsidR="005C6CD3" w:rsidRPr="007528C9" w:rsidTr="00902932">
        <w:trPr>
          <w:cantSplit/>
          <w:jc w:val="center"/>
        </w:trPr>
        <w:tc>
          <w:tcPr>
            <w:tcW w:w="1599" w:type="dxa"/>
            <w:vAlign w:val="bottom"/>
          </w:tcPr>
          <w:p w:rsidR="005C6CD3" w:rsidRPr="007528C9" w:rsidRDefault="005C6CD3" w:rsidP="007528C9">
            <w:pPr>
              <w:pStyle w:val="TableText"/>
              <w:keepNext w:val="0"/>
              <w:jc w:val="center"/>
              <w:rPr>
                <w:noProof/>
                <w:lang w:val="fr-FR"/>
              </w:rPr>
            </w:pPr>
            <w:r w:rsidRPr="007528C9">
              <w:rPr>
                <w:noProof/>
                <w:lang w:val="fr-FR"/>
              </w:rPr>
              <w:t>86</w:t>
            </w:r>
          </w:p>
        </w:tc>
        <w:tc>
          <w:tcPr>
            <w:tcW w:w="1599" w:type="dxa"/>
            <w:vAlign w:val="bottom"/>
          </w:tcPr>
          <w:p w:rsidR="005C6CD3" w:rsidRPr="007528C9" w:rsidRDefault="005C6CD3" w:rsidP="007528C9">
            <w:pPr>
              <w:pStyle w:val="TableText"/>
              <w:keepNext w:val="0"/>
              <w:jc w:val="center"/>
              <w:rPr>
                <w:rStyle w:val="AnswerGray"/>
                <w:noProof/>
                <w:lang w:val="fr-FR"/>
              </w:rPr>
            </w:pPr>
          </w:p>
        </w:tc>
        <w:tc>
          <w:tcPr>
            <w:tcW w:w="1598" w:type="dxa"/>
            <w:vAlign w:val="bottom"/>
          </w:tcPr>
          <w:p w:rsidR="005C6CD3" w:rsidRPr="007528C9" w:rsidRDefault="005C6CD3" w:rsidP="007528C9">
            <w:pPr>
              <w:pStyle w:val="TableText"/>
              <w:keepNext w:val="0"/>
              <w:jc w:val="center"/>
              <w:rPr>
                <w:rStyle w:val="AnswerGray"/>
                <w:noProof/>
                <w:lang w:val="fr-FR"/>
              </w:rPr>
            </w:pPr>
          </w:p>
        </w:tc>
      </w:tr>
      <w:tr w:rsidR="009722C5" w:rsidRPr="007528C9" w:rsidTr="00902932">
        <w:trPr>
          <w:cantSplit/>
          <w:jc w:val="center"/>
        </w:trPr>
        <w:tc>
          <w:tcPr>
            <w:tcW w:w="1599" w:type="dxa"/>
            <w:vAlign w:val="bottom"/>
          </w:tcPr>
          <w:p w:rsidR="009722C5" w:rsidRPr="007528C9" w:rsidRDefault="009722C5" w:rsidP="007528C9">
            <w:pPr>
              <w:pStyle w:val="TableText"/>
              <w:keepNext w:val="0"/>
              <w:jc w:val="center"/>
              <w:rPr>
                <w:noProof/>
                <w:lang w:val="fr-FR"/>
              </w:rPr>
            </w:pPr>
            <w:r w:rsidRPr="007528C9">
              <w:rPr>
                <w:noProof/>
                <w:lang w:val="fr-FR"/>
              </w:rPr>
              <w:t>175</w:t>
            </w:r>
          </w:p>
        </w:tc>
        <w:tc>
          <w:tcPr>
            <w:tcW w:w="1599" w:type="dxa"/>
            <w:vAlign w:val="bottom"/>
          </w:tcPr>
          <w:p w:rsidR="009722C5" w:rsidRPr="007528C9" w:rsidRDefault="009722C5" w:rsidP="007528C9">
            <w:pPr>
              <w:pStyle w:val="TableText"/>
              <w:keepNext w:val="0"/>
              <w:jc w:val="center"/>
              <w:rPr>
                <w:rStyle w:val="AnswerGray"/>
                <w:noProof/>
                <w:lang w:val="fr-FR"/>
              </w:rPr>
            </w:pPr>
          </w:p>
        </w:tc>
        <w:tc>
          <w:tcPr>
            <w:tcW w:w="1598" w:type="dxa"/>
            <w:vAlign w:val="bottom"/>
          </w:tcPr>
          <w:p w:rsidR="009722C5" w:rsidRPr="007528C9" w:rsidRDefault="009722C5" w:rsidP="007528C9">
            <w:pPr>
              <w:pStyle w:val="TableText"/>
              <w:keepNext w:val="0"/>
              <w:jc w:val="center"/>
              <w:rPr>
                <w:rStyle w:val="AnswerGray"/>
                <w:noProof/>
                <w:lang w:val="fr-FR"/>
              </w:rPr>
            </w:pPr>
          </w:p>
        </w:tc>
      </w:tr>
      <w:tr w:rsidR="009722C5" w:rsidRPr="007528C9" w:rsidTr="00902932">
        <w:trPr>
          <w:cantSplit/>
          <w:jc w:val="center"/>
        </w:trPr>
        <w:tc>
          <w:tcPr>
            <w:tcW w:w="1599" w:type="dxa"/>
            <w:vAlign w:val="bottom"/>
          </w:tcPr>
          <w:p w:rsidR="009722C5" w:rsidRPr="007528C9" w:rsidRDefault="009722C5" w:rsidP="007528C9">
            <w:pPr>
              <w:pStyle w:val="TableText"/>
              <w:keepNext w:val="0"/>
              <w:jc w:val="center"/>
              <w:rPr>
                <w:noProof/>
                <w:lang w:val="fr-FR"/>
              </w:rPr>
            </w:pPr>
            <w:r w:rsidRPr="007528C9">
              <w:rPr>
                <w:noProof/>
                <w:lang w:val="fr-FR"/>
              </w:rPr>
              <w:t>204</w:t>
            </w:r>
          </w:p>
        </w:tc>
        <w:tc>
          <w:tcPr>
            <w:tcW w:w="1599" w:type="dxa"/>
            <w:vAlign w:val="bottom"/>
          </w:tcPr>
          <w:p w:rsidR="009722C5" w:rsidRPr="007528C9" w:rsidRDefault="009722C5" w:rsidP="007528C9">
            <w:pPr>
              <w:pStyle w:val="TableText"/>
              <w:keepNext w:val="0"/>
              <w:jc w:val="center"/>
              <w:rPr>
                <w:rStyle w:val="AnswerGray"/>
                <w:noProof/>
                <w:lang w:val="fr-FR"/>
              </w:rPr>
            </w:pPr>
          </w:p>
        </w:tc>
        <w:tc>
          <w:tcPr>
            <w:tcW w:w="1598" w:type="dxa"/>
            <w:vAlign w:val="bottom"/>
          </w:tcPr>
          <w:p w:rsidR="009722C5" w:rsidRPr="007528C9" w:rsidRDefault="009722C5" w:rsidP="007528C9">
            <w:pPr>
              <w:pStyle w:val="TableText"/>
              <w:keepNext w:val="0"/>
              <w:jc w:val="center"/>
              <w:rPr>
                <w:rStyle w:val="AnswerGray"/>
                <w:noProof/>
                <w:lang w:val="fr-FR"/>
              </w:rPr>
            </w:pPr>
          </w:p>
        </w:tc>
      </w:tr>
      <w:tr w:rsidR="009722C5" w:rsidRPr="007528C9" w:rsidTr="00902932">
        <w:trPr>
          <w:cantSplit/>
          <w:jc w:val="center"/>
        </w:trPr>
        <w:tc>
          <w:tcPr>
            <w:tcW w:w="1599" w:type="dxa"/>
            <w:vAlign w:val="bottom"/>
          </w:tcPr>
          <w:p w:rsidR="009722C5" w:rsidRPr="007528C9" w:rsidRDefault="009722C5" w:rsidP="007528C9">
            <w:pPr>
              <w:pStyle w:val="TableText"/>
              <w:keepNext w:val="0"/>
              <w:jc w:val="center"/>
              <w:rPr>
                <w:rStyle w:val="AnswerGray"/>
                <w:noProof/>
                <w:lang w:val="fr-FR"/>
              </w:rPr>
            </w:pPr>
          </w:p>
        </w:tc>
        <w:tc>
          <w:tcPr>
            <w:tcW w:w="1599" w:type="dxa"/>
            <w:vAlign w:val="bottom"/>
          </w:tcPr>
          <w:p w:rsidR="009722C5" w:rsidRPr="007528C9" w:rsidRDefault="009722C5" w:rsidP="007528C9">
            <w:pPr>
              <w:pStyle w:val="TableText"/>
              <w:keepNext w:val="0"/>
              <w:jc w:val="center"/>
              <w:rPr>
                <w:noProof/>
                <w:lang w:val="fr-FR"/>
              </w:rPr>
            </w:pPr>
            <w:r w:rsidRPr="007528C9">
              <w:rPr>
                <w:noProof/>
                <w:lang w:val="fr-FR"/>
              </w:rPr>
              <w:t>0001 0011</w:t>
            </w:r>
          </w:p>
        </w:tc>
        <w:tc>
          <w:tcPr>
            <w:tcW w:w="1598" w:type="dxa"/>
            <w:vAlign w:val="bottom"/>
          </w:tcPr>
          <w:p w:rsidR="009722C5" w:rsidRPr="007528C9" w:rsidRDefault="009722C5" w:rsidP="007528C9">
            <w:pPr>
              <w:pStyle w:val="TableText"/>
              <w:keepNext w:val="0"/>
              <w:jc w:val="center"/>
              <w:rPr>
                <w:rStyle w:val="AnswerGray"/>
                <w:noProof/>
                <w:lang w:val="fr-FR"/>
              </w:rPr>
            </w:pPr>
          </w:p>
        </w:tc>
      </w:tr>
      <w:tr w:rsidR="009722C5" w:rsidRPr="007528C9" w:rsidTr="00902932">
        <w:trPr>
          <w:cantSplit/>
          <w:jc w:val="center"/>
        </w:trPr>
        <w:tc>
          <w:tcPr>
            <w:tcW w:w="1599" w:type="dxa"/>
            <w:vAlign w:val="bottom"/>
          </w:tcPr>
          <w:p w:rsidR="00270A9E" w:rsidRPr="007528C9" w:rsidRDefault="00270A9E" w:rsidP="007528C9">
            <w:pPr>
              <w:pStyle w:val="TableText"/>
              <w:keepNext w:val="0"/>
              <w:jc w:val="center"/>
              <w:rPr>
                <w:rStyle w:val="AnswerGray"/>
                <w:noProof/>
                <w:lang w:val="fr-FR"/>
              </w:rPr>
            </w:pPr>
          </w:p>
        </w:tc>
        <w:tc>
          <w:tcPr>
            <w:tcW w:w="1599" w:type="dxa"/>
            <w:vAlign w:val="bottom"/>
          </w:tcPr>
          <w:p w:rsidR="009722C5" w:rsidRPr="007528C9" w:rsidRDefault="00270A9E" w:rsidP="007528C9">
            <w:pPr>
              <w:pStyle w:val="TableText"/>
              <w:keepNext w:val="0"/>
              <w:jc w:val="center"/>
              <w:rPr>
                <w:noProof/>
                <w:lang w:val="fr-FR"/>
              </w:rPr>
            </w:pPr>
            <w:r w:rsidRPr="007528C9">
              <w:rPr>
                <w:noProof/>
                <w:lang w:val="fr-FR"/>
              </w:rPr>
              <w:t>0100 1101</w:t>
            </w:r>
          </w:p>
        </w:tc>
        <w:tc>
          <w:tcPr>
            <w:tcW w:w="1598" w:type="dxa"/>
            <w:vAlign w:val="bottom"/>
          </w:tcPr>
          <w:p w:rsidR="009722C5" w:rsidRPr="007528C9" w:rsidRDefault="009722C5" w:rsidP="007528C9">
            <w:pPr>
              <w:pStyle w:val="TableText"/>
              <w:keepNext w:val="0"/>
              <w:jc w:val="center"/>
              <w:rPr>
                <w:rStyle w:val="AnswerGray"/>
                <w:noProof/>
                <w:lang w:val="fr-FR"/>
              </w:rPr>
            </w:pPr>
          </w:p>
        </w:tc>
      </w:tr>
      <w:tr w:rsidR="009722C5" w:rsidRPr="007528C9" w:rsidTr="00902932">
        <w:trPr>
          <w:cantSplit/>
          <w:jc w:val="center"/>
        </w:trPr>
        <w:tc>
          <w:tcPr>
            <w:tcW w:w="1599" w:type="dxa"/>
            <w:vAlign w:val="bottom"/>
          </w:tcPr>
          <w:p w:rsidR="009722C5" w:rsidRPr="007528C9" w:rsidRDefault="009722C5" w:rsidP="007528C9">
            <w:pPr>
              <w:pStyle w:val="TableText"/>
              <w:keepNext w:val="0"/>
              <w:jc w:val="center"/>
              <w:rPr>
                <w:rStyle w:val="AnswerGray"/>
                <w:noProof/>
                <w:lang w:val="fr-FR"/>
              </w:rPr>
            </w:pPr>
          </w:p>
        </w:tc>
        <w:tc>
          <w:tcPr>
            <w:tcW w:w="1599" w:type="dxa"/>
            <w:vAlign w:val="bottom"/>
          </w:tcPr>
          <w:p w:rsidR="009722C5" w:rsidRPr="007528C9" w:rsidRDefault="00270A9E" w:rsidP="007528C9">
            <w:pPr>
              <w:pStyle w:val="TableText"/>
              <w:keepNext w:val="0"/>
              <w:jc w:val="center"/>
              <w:rPr>
                <w:noProof/>
                <w:lang w:val="fr-FR"/>
              </w:rPr>
            </w:pPr>
            <w:r w:rsidRPr="007528C9">
              <w:rPr>
                <w:noProof/>
                <w:lang w:val="fr-FR"/>
              </w:rPr>
              <w:t>0010 1010</w:t>
            </w:r>
          </w:p>
        </w:tc>
        <w:tc>
          <w:tcPr>
            <w:tcW w:w="1598" w:type="dxa"/>
            <w:vAlign w:val="bottom"/>
          </w:tcPr>
          <w:p w:rsidR="009722C5" w:rsidRPr="007528C9" w:rsidRDefault="009722C5" w:rsidP="007528C9">
            <w:pPr>
              <w:pStyle w:val="TableText"/>
              <w:keepNext w:val="0"/>
              <w:jc w:val="center"/>
              <w:rPr>
                <w:rStyle w:val="AnswerGray"/>
                <w:noProof/>
                <w:lang w:val="fr-FR"/>
              </w:rPr>
            </w:pPr>
          </w:p>
        </w:tc>
      </w:tr>
      <w:tr w:rsidR="00270A9E" w:rsidRPr="007528C9" w:rsidTr="00902932">
        <w:trPr>
          <w:cantSplit/>
          <w:jc w:val="center"/>
        </w:trPr>
        <w:tc>
          <w:tcPr>
            <w:tcW w:w="1599" w:type="dxa"/>
            <w:vAlign w:val="bottom"/>
          </w:tcPr>
          <w:p w:rsidR="00270A9E" w:rsidRPr="007528C9" w:rsidRDefault="00270A9E" w:rsidP="007528C9">
            <w:pPr>
              <w:pStyle w:val="TableText"/>
              <w:keepNext w:val="0"/>
              <w:jc w:val="center"/>
              <w:rPr>
                <w:rStyle w:val="AnswerGray"/>
                <w:noProof/>
                <w:lang w:val="fr-FR"/>
              </w:rPr>
            </w:pPr>
          </w:p>
        </w:tc>
        <w:tc>
          <w:tcPr>
            <w:tcW w:w="1599" w:type="dxa"/>
            <w:vAlign w:val="bottom"/>
          </w:tcPr>
          <w:p w:rsidR="00270A9E" w:rsidRPr="007528C9" w:rsidRDefault="00270A9E" w:rsidP="007528C9">
            <w:pPr>
              <w:pStyle w:val="TableText"/>
              <w:keepNext w:val="0"/>
              <w:jc w:val="center"/>
              <w:rPr>
                <w:rStyle w:val="AnswerGray"/>
                <w:noProof/>
                <w:lang w:val="fr-FR"/>
              </w:rPr>
            </w:pPr>
          </w:p>
        </w:tc>
        <w:tc>
          <w:tcPr>
            <w:tcW w:w="1598" w:type="dxa"/>
            <w:vAlign w:val="bottom"/>
          </w:tcPr>
          <w:p w:rsidR="00270A9E" w:rsidRPr="007528C9" w:rsidRDefault="00270A9E" w:rsidP="007528C9">
            <w:pPr>
              <w:pStyle w:val="TableText"/>
              <w:keepNext w:val="0"/>
              <w:jc w:val="center"/>
              <w:rPr>
                <w:noProof/>
                <w:lang w:val="fr-FR"/>
              </w:rPr>
            </w:pPr>
            <w:r w:rsidRPr="007528C9">
              <w:rPr>
                <w:noProof/>
                <w:lang w:val="fr-FR"/>
              </w:rPr>
              <w:t>38</w:t>
            </w:r>
          </w:p>
        </w:tc>
      </w:tr>
      <w:tr w:rsidR="00270A9E" w:rsidRPr="007528C9" w:rsidTr="00902932">
        <w:trPr>
          <w:cantSplit/>
          <w:jc w:val="center"/>
        </w:trPr>
        <w:tc>
          <w:tcPr>
            <w:tcW w:w="1599" w:type="dxa"/>
            <w:vAlign w:val="bottom"/>
          </w:tcPr>
          <w:p w:rsidR="00270A9E" w:rsidRPr="007528C9" w:rsidRDefault="00270A9E" w:rsidP="007528C9">
            <w:pPr>
              <w:pStyle w:val="TableText"/>
              <w:keepNext w:val="0"/>
              <w:jc w:val="center"/>
              <w:rPr>
                <w:rStyle w:val="AnswerGray"/>
                <w:noProof/>
                <w:lang w:val="fr-FR"/>
              </w:rPr>
            </w:pPr>
          </w:p>
        </w:tc>
        <w:tc>
          <w:tcPr>
            <w:tcW w:w="1599" w:type="dxa"/>
            <w:vAlign w:val="bottom"/>
          </w:tcPr>
          <w:p w:rsidR="00270A9E" w:rsidRPr="007528C9" w:rsidRDefault="00270A9E" w:rsidP="007528C9">
            <w:pPr>
              <w:pStyle w:val="TableText"/>
              <w:keepNext w:val="0"/>
              <w:jc w:val="center"/>
              <w:rPr>
                <w:rStyle w:val="AnswerGray"/>
                <w:noProof/>
                <w:lang w:val="fr-FR"/>
              </w:rPr>
            </w:pPr>
          </w:p>
        </w:tc>
        <w:tc>
          <w:tcPr>
            <w:tcW w:w="1598" w:type="dxa"/>
            <w:vAlign w:val="bottom"/>
          </w:tcPr>
          <w:p w:rsidR="00270A9E" w:rsidRPr="007528C9" w:rsidRDefault="00270A9E" w:rsidP="007528C9">
            <w:pPr>
              <w:pStyle w:val="TableText"/>
              <w:keepNext w:val="0"/>
              <w:jc w:val="center"/>
              <w:rPr>
                <w:noProof/>
                <w:lang w:val="fr-FR"/>
              </w:rPr>
            </w:pPr>
            <w:r w:rsidRPr="007528C9">
              <w:rPr>
                <w:noProof/>
                <w:lang w:val="fr-FR"/>
              </w:rPr>
              <w:t>93</w:t>
            </w:r>
          </w:p>
        </w:tc>
      </w:tr>
      <w:tr w:rsidR="00270A9E" w:rsidRPr="007528C9" w:rsidTr="00902932">
        <w:trPr>
          <w:cantSplit/>
          <w:jc w:val="center"/>
        </w:trPr>
        <w:tc>
          <w:tcPr>
            <w:tcW w:w="1599" w:type="dxa"/>
            <w:vAlign w:val="bottom"/>
          </w:tcPr>
          <w:p w:rsidR="00270A9E" w:rsidRPr="007528C9" w:rsidRDefault="00270A9E" w:rsidP="007528C9">
            <w:pPr>
              <w:pStyle w:val="TableText"/>
              <w:keepNext w:val="0"/>
              <w:jc w:val="center"/>
              <w:rPr>
                <w:rStyle w:val="AnswerGray"/>
                <w:noProof/>
                <w:lang w:val="fr-FR"/>
              </w:rPr>
            </w:pPr>
          </w:p>
        </w:tc>
        <w:tc>
          <w:tcPr>
            <w:tcW w:w="1599" w:type="dxa"/>
            <w:vAlign w:val="bottom"/>
          </w:tcPr>
          <w:p w:rsidR="00270A9E" w:rsidRPr="007528C9" w:rsidRDefault="00270A9E" w:rsidP="007528C9">
            <w:pPr>
              <w:pStyle w:val="TableText"/>
              <w:keepNext w:val="0"/>
              <w:jc w:val="center"/>
              <w:rPr>
                <w:rStyle w:val="AnswerGray"/>
                <w:noProof/>
                <w:lang w:val="fr-FR"/>
              </w:rPr>
            </w:pPr>
          </w:p>
        </w:tc>
        <w:tc>
          <w:tcPr>
            <w:tcW w:w="1598" w:type="dxa"/>
            <w:vAlign w:val="bottom"/>
          </w:tcPr>
          <w:p w:rsidR="00270A9E" w:rsidRPr="007528C9" w:rsidRDefault="00270A9E" w:rsidP="007528C9">
            <w:pPr>
              <w:pStyle w:val="TableText"/>
              <w:keepNext w:val="0"/>
              <w:jc w:val="center"/>
              <w:rPr>
                <w:noProof/>
                <w:lang w:val="fr-FR"/>
              </w:rPr>
            </w:pPr>
            <w:r w:rsidRPr="007528C9">
              <w:rPr>
                <w:noProof/>
                <w:lang w:val="fr-FR"/>
              </w:rPr>
              <w:t>E4</w:t>
            </w:r>
          </w:p>
        </w:tc>
      </w:tr>
    </w:tbl>
    <w:p w:rsidR="000D4716" w:rsidRPr="007528C9" w:rsidRDefault="000D4716" w:rsidP="000D4716">
      <w:pPr>
        <w:pStyle w:val="SubStepAlpha"/>
        <w:rPr>
          <w:noProof/>
          <w:lang w:val="fr-FR"/>
        </w:rPr>
      </w:pPr>
      <w:r w:rsidRPr="007528C9">
        <w:rPr>
          <w:noProof/>
          <w:lang w:val="fr-FR"/>
        </w:rPr>
        <w:lastRenderedPageBreak/>
        <w:t>Lorsque vous consignez les valeurs dans le tableau ci-dessus, voyez-vous un modèle entre les nombres binaires et les nombres hexadécimaux ?</w:t>
      </w:r>
    </w:p>
    <w:p w:rsidR="000D4716" w:rsidRPr="007528C9" w:rsidRDefault="000D4716" w:rsidP="000D4716">
      <w:pPr>
        <w:pStyle w:val="BodyTextL50"/>
        <w:rPr>
          <w:noProof/>
          <w:lang w:val="fr-FR"/>
        </w:rPr>
      </w:pPr>
      <w:r w:rsidRPr="007528C9">
        <w:rPr>
          <w:noProof/>
          <w:lang w:val="fr-FR"/>
        </w:rPr>
        <w:t>____________________________________________________________________________________</w:t>
      </w:r>
    </w:p>
    <w:p w:rsidR="000D4716" w:rsidRPr="007528C9" w:rsidRDefault="000D4716" w:rsidP="000D4716">
      <w:pPr>
        <w:pStyle w:val="BodyTextL50"/>
        <w:rPr>
          <w:noProof/>
          <w:lang w:val="fr-FR"/>
        </w:rPr>
      </w:pPr>
      <w:r w:rsidRPr="007528C9">
        <w:rPr>
          <w:noProof/>
          <w:lang w:val="fr-FR"/>
        </w:rPr>
        <w:t>____________________________________________________________________________________</w:t>
      </w:r>
    </w:p>
    <w:p w:rsidR="005C6CD3" w:rsidRPr="007528C9" w:rsidRDefault="00E24500" w:rsidP="00E24500">
      <w:pPr>
        <w:pStyle w:val="PartHead"/>
        <w:numPr>
          <w:ilvl w:val="0"/>
          <w:numId w:val="0"/>
        </w:numPr>
        <w:ind w:left="1411" w:hangingChars="504" w:hanging="1411"/>
        <w:rPr>
          <w:noProof/>
          <w:lang w:val="fr-FR"/>
        </w:rPr>
      </w:pPr>
      <w:r w:rsidRPr="007528C9">
        <w:rPr>
          <w:noProof/>
          <w:lang w:val="fr-FR" w:eastAsia="zh-CN"/>
        </w:rPr>
        <w:t>3</w:t>
      </w:r>
      <w:r w:rsidRPr="007528C9">
        <w:rPr>
          <w:noProof/>
          <w:lang w:val="fr-FR"/>
        </w:rPr>
        <w:t xml:space="preserve">e partie : </w:t>
      </w:r>
      <w:r w:rsidR="00757116" w:rsidRPr="007528C9">
        <w:rPr>
          <w:noProof/>
          <w:lang w:val="fr-FR"/>
        </w:rPr>
        <w:t>Convertir des adresses et masques de sous-réseau IPv4 d</w:t>
      </w:r>
      <w:r w:rsidR="00853098" w:rsidRPr="007528C9">
        <w:rPr>
          <w:noProof/>
          <w:lang w:val="fr-FR"/>
        </w:rPr>
        <w:t>’</w:t>
      </w:r>
      <w:r w:rsidR="00757116" w:rsidRPr="007528C9">
        <w:rPr>
          <w:noProof/>
          <w:lang w:val="fr-FR"/>
        </w:rPr>
        <w:t>hôte en binaire</w:t>
      </w:r>
    </w:p>
    <w:p w:rsidR="001274DE" w:rsidRPr="007528C9" w:rsidRDefault="00B56B9A" w:rsidP="00EB48C8">
      <w:pPr>
        <w:pStyle w:val="BodyTextL25"/>
        <w:rPr>
          <w:noProof/>
          <w:lang w:val="fr-FR"/>
        </w:rPr>
      </w:pPr>
      <w:r w:rsidRPr="007528C9">
        <w:rPr>
          <w:noProof/>
          <w:lang w:val="fr-FR"/>
        </w:rPr>
        <w:t>Les adresses et masques de sous-réseaux IPv4 (Internet Protocol version 4) sont exprimés en notation décimale à point (sur quatre octets), par exemple, 192.168.1.10 et 255.255.255.0, respectivement. Ces adresses sont ainsi plus lisibles pour des humains. Chacun des octets décimaux de l</w:t>
      </w:r>
      <w:r w:rsidR="00853098" w:rsidRPr="007528C9">
        <w:rPr>
          <w:noProof/>
          <w:lang w:val="fr-FR"/>
        </w:rPr>
        <w:t>’</w:t>
      </w:r>
      <w:r w:rsidRPr="007528C9">
        <w:rPr>
          <w:noProof/>
          <w:lang w:val="fr-FR"/>
        </w:rPr>
        <w:t>adresse ou un masque peut être converti en 8 bits binaires. Un octet correspond toujours à 8 bits binaires. Si les 4 octets ont été convertis en nombres binaires, combien de bits devez-vous a</w:t>
      </w:r>
      <w:r w:rsidR="007528C9" w:rsidRPr="007528C9">
        <w:rPr>
          <w:noProof/>
          <w:lang w:val="fr-FR"/>
        </w:rPr>
        <w:t>voir ? ________________________</w:t>
      </w:r>
    </w:p>
    <w:p w:rsidR="00945C15" w:rsidRPr="007528C9" w:rsidRDefault="00DF0CDE" w:rsidP="00E24500">
      <w:pPr>
        <w:pStyle w:val="SubStepAlpha"/>
        <w:numPr>
          <w:ilvl w:val="2"/>
          <w:numId w:val="11"/>
        </w:numPr>
        <w:rPr>
          <w:noProof/>
          <w:lang w:val="fr-FR"/>
        </w:rPr>
      </w:pPr>
      <w:r w:rsidRPr="007528C9">
        <w:rPr>
          <w:noProof/>
          <w:lang w:val="fr-FR"/>
        </w:rPr>
        <w:t>Utilisez la calculatrice Windows pour convertir l</w:t>
      </w:r>
      <w:r w:rsidR="00853098" w:rsidRPr="007528C9">
        <w:rPr>
          <w:noProof/>
          <w:lang w:val="fr-FR"/>
        </w:rPr>
        <w:t>’</w:t>
      </w:r>
      <w:r w:rsidRPr="007528C9">
        <w:rPr>
          <w:noProof/>
          <w:lang w:val="fr-FR"/>
        </w:rPr>
        <w:t>adresse IP 192.168.1.10 en valeur binaire etconsignez les nombres binaires dans le tableau suivant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863"/>
        <w:gridCol w:w="2223"/>
      </w:tblGrid>
      <w:tr w:rsidR="00C041B1" w:rsidRPr="007528C9" w:rsidTr="007D25DD">
        <w:trPr>
          <w:cantSplit/>
          <w:jc w:val="center"/>
        </w:trPr>
        <w:tc>
          <w:tcPr>
            <w:tcW w:w="186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041B1" w:rsidRPr="007528C9" w:rsidRDefault="00C041B1" w:rsidP="003753F9">
            <w:pPr>
              <w:pStyle w:val="TableHeading"/>
              <w:rPr>
                <w:noProof/>
                <w:lang w:val="fr-FR"/>
              </w:rPr>
            </w:pPr>
            <w:r w:rsidRPr="007528C9">
              <w:rPr>
                <w:noProof/>
                <w:lang w:val="fr-FR"/>
              </w:rPr>
              <w:t>Décimal</w:t>
            </w:r>
          </w:p>
        </w:tc>
        <w:tc>
          <w:tcPr>
            <w:tcW w:w="22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041B1" w:rsidRPr="007528C9" w:rsidRDefault="00C041B1" w:rsidP="003753F9">
            <w:pPr>
              <w:pStyle w:val="TableHeading"/>
              <w:rPr>
                <w:noProof/>
                <w:lang w:val="fr-FR"/>
              </w:rPr>
            </w:pPr>
            <w:r w:rsidRPr="007528C9">
              <w:rPr>
                <w:noProof/>
                <w:lang w:val="fr-FR"/>
              </w:rPr>
              <w:t>Binaire</w:t>
            </w:r>
          </w:p>
        </w:tc>
      </w:tr>
      <w:tr w:rsidR="00C041B1" w:rsidRPr="007528C9" w:rsidTr="007D25DD">
        <w:trPr>
          <w:cantSplit/>
          <w:jc w:val="center"/>
        </w:trPr>
        <w:tc>
          <w:tcPr>
            <w:tcW w:w="1863" w:type="dxa"/>
            <w:vAlign w:val="bottom"/>
          </w:tcPr>
          <w:p w:rsidR="00C041B1" w:rsidRPr="007528C9" w:rsidRDefault="00C041B1" w:rsidP="007D25DD">
            <w:pPr>
              <w:pStyle w:val="TableText"/>
              <w:jc w:val="center"/>
              <w:rPr>
                <w:noProof/>
                <w:lang w:val="fr-FR"/>
              </w:rPr>
            </w:pPr>
            <w:r w:rsidRPr="007528C9">
              <w:rPr>
                <w:noProof/>
                <w:lang w:val="fr-FR"/>
              </w:rPr>
              <w:t>192</w:t>
            </w:r>
          </w:p>
        </w:tc>
        <w:tc>
          <w:tcPr>
            <w:tcW w:w="2223" w:type="dxa"/>
            <w:vAlign w:val="bottom"/>
          </w:tcPr>
          <w:p w:rsidR="00C041B1" w:rsidRPr="007528C9" w:rsidRDefault="00C041B1" w:rsidP="007D25DD">
            <w:pPr>
              <w:pStyle w:val="TableText"/>
              <w:jc w:val="center"/>
              <w:rPr>
                <w:rStyle w:val="AnswerGray"/>
                <w:noProof/>
                <w:lang w:val="fr-FR"/>
              </w:rPr>
            </w:pPr>
          </w:p>
        </w:tc>
      </w:tr>
      <w:tr w:rsidR="00C041B1" w:rsidRPr="007528C9" w:rsidTr="007D25DD">
        <w:trPr>
          <w:cantSplit/>
          <w:jc w:val="center"/>
        </w:trPr>
        <w:tc>
          <w:tcPr>
            <w:tcW w:w="1863" w:type="dxa"/>
            <w:vAlign w:val="bottom"/>
          </w:tcPr>
          <w:p w:rsidR="00C041B1" w:rsidRPr="007528C9" w:rsidRDefault="00C041B1" w:rsidP="007D25DD">
            <w:pPr>
              <w:pStyle w:val="TableText"/>
              <w:jc w:val="center"/>
              <w:rPr>
                <w:noProof/>
                <w:lang w:val="fr-FR"/>
              </w:rPr>
            </w:pPr>
            <w:r w:rsidRPr="007528C9">
              <w:rPr>
                <w:noProof/>
                <w:lang w:val="fr-FR"/>
              </w:rPr>
              <w:t>168</w:t>
            </w:r>
          </w:p>
        </w:tc>
        <w:tc>
          <w:tcPr>
            <w:tcW w:w="2223" w:type="dxa"/>
            <w:vAlign w:val="bottom"/>
          </w:tcPr>
          <w:p w:rsidR="00C041B1" w:rsidRPr="007528C9" w:rsidRDefault="00C041B1" w:rsidP="007D25DD">
            <w:pPr>
              <w:pStyle w:val="TableText"/>
              <w:jc w:val="center"/>
              <w:rPr>
                <w:rStyle w:val="AnswerGray"/>
                <w:noProof/>
                <w:lang w:val="fr-FR"/>
              </w:rPr>
            </w:pPr>
          </w:p>
        </w:tc>
      </w:tr>
      <w:tr w:rsidR="00C041B1" w:rsidRPr="007528C9" w:rsidTr="007D25DD">
        <w:trPr>
          <w:cantSplit/>
          <w:jc w:val="center"/>
        </w:trPr>
        <w:tc>
          <w:tcPr>
            <w:tcW w:w="1863" w:type="dxa"/>
            <w:vAlign w:val="bottom"/>
          </w:tcPr>
          <w:p w:rsidR="00C041B1" w:rsidRPr="007528C9" w:rsidRDefault="00C041B1" w:rsidP="007D25DD">
            <w:pPr>
              <w:pStyle w:val="TableText"/>
              <w:jc w:val="center"/>
              <w:rPr>
                <w:noProof/>
                <w:lang w:val="fr-FR"/>
              </w:rPr>
            </w:pPr>
            <w:r w:rsidRPr="007528C9">
              <w:rPr>
                <w:noProof/>
                <w:lang w:val="fr-FR"/>
              </w:rPr>
              <w:t>1</w:t>
            </w:r>
          </w:p>
        </w:tc>
        <w:tc>
          <w:tcPr>
            <w:tcW w:w="2223" w:type="dxa"/>
            <w:vAlign w:val="bottom"/>
          </w:tcPr>
          <w:p w:rsidR="00C041B1" w:rsidRPr="007528C9" w:rsidRDefault="00C041B1" w:rsidP="007D25DD">
            <w:pPr>
              <w:pStyle w:val="TableText"/>
              <w:jc w:val="center"/>
              <w:rPr>
                <w:rStyle w:val="AnswerGray"/>
                <w:noProof/>
                <w:lang w:val="fr-FR"/>
              </w:rPr>
            </w:pPr>
          </w:p>
        </w:tc>
      </w:tr>
      <w:tr w:rsidR="00C041B1" w:rsidRPr="007528C9" w:rsidTr="007D25DD">
        <w:trPr>
          <w:cantSplit/>
          <w:jc w:val="center"/>
        </w:trPr>
        <w:tc>
          <w:tcPr>
            <w:tcW w:w="1863" w:type="dxa"/>
            <w:vAlign w:val="bottom"/>
          </w:tcPr>
          <w:p w:rsidR="00C041B1" w:rsidRPr="007528C9" w:rsidRDefault="00C041B1" w:rsidP="007D25DD">
            <w:pPr>
              <w:pStyle w:val="TableText"/>
              <w:jc w:val="center"/>
              <w:rPr>
                <w:noProof/>
                <w:lang w:val="fr-FR"/>
              </w:rPr>
            </w:pPr>
            <w:r w:rsidRPr="007528C9">
              <w:rPr>
                <w:noProof/>
                <w:lang w:val="fr-FR"/>
              </w:rPr>
              <w:t>10</w:t>
            </w:r>
          </w:p>
        </w:tc>
        <w:tc>
          <w:tcPr>
            <w:tcW w:w="2223" w:type="dxa"/>
            <w:vAlign w:val="bottom"/>
          </w:tcPr>
          <w:p w:rsidR="00C041B1" w:rsidRPr="007528C9" w:rsidRDefault="00C041B1" w:rsidP="007D25DD">
            <w:pPr>
              <w:pStyle w:val="TableText"/>
              <w:jc w:val="center"/>
              <w:rPr>
                <w:rStyle w:val="AnswerGray"/>
                <w:noProof/>
                <w:lang w:val="fr-FR"/>
              </w:rPr>
            </w:pPr>
          </w:p>
        </w:tc>
      </w:tr>
    </w:tbl>
    <w:p w:rsidR="00EB48C8" w:rsidRPr="007528C9" w:rsidRDefault="0071571F" w:rsidP="00EB48C8">
      <w:pPr>
        <w:pStyle w:val="SubStepAlpha"/>
        <w:rPr>
          <w:noProof/>
          <w:lang w:val="fr-FR"/>
        </w:rPr>
      </w:pPr>
      <w:r w:rsidRPr="007528C9">
        <w:rPr>
          <w:noProof/>
          <w:lang w:val="fr-FR"/>
        </w:rPr>
        <w:t>Les masques de sous-réseau, comme 255.255.255.0, sont également exprimés en notation décimale à point. Un masque de sous-réseau comprend toujours quatre octets de 8 bits, chacun représenté sous la forme d</w:t>
      </w:r>
      <w:r w:rsidR="00853098" w:rsidRPr="007528C9">
        <w:rPr>
          <w:noProof/>
          <w:lang w:val="fr-FR"/>
        </w:rPr>
        <w:t>’</w:t>
      </w:r>
      <w:r w:rsidRPr="007528C9">
        <w:rPr>
          <w:noProof/>
          <w:lang w:val="fr-FR"/>
        </w:rPr>
        <w:t>un nombre décimal. En utilisant la calculatrice Windows, convertissez les 8 valeurs d</w:t>
      </w:r>
      <w:r w:rsidR="00853098" w:rsidRPr="007528C9">
        <w:rPr>
          <w:noProof/>
          <w:lang w:val="fr-FR"/>
        </w:rPr>
        <w:t>’</w:t>
      </w:r>
      <w:r w:rsidRPr="007528C9">
        <w:rPr>
          <w:noProof/>
          <w:lang w:val="fr-FR"/>
        </w:rPr>
        <w:t>octet décimales possibles pour le masque de sous-réseau en nombres binaires et consignez les nombres binaires dans le tableau suivant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863"/>
        <w:gridCol w:w="2223"/>
      </w:tblGrid>
      <w:tr w:rsidR="00D70F84" w:rsidRPr="007528C9" w:rsidTr="00106083">
        <w:trPr>
          <w:cantSplit/>
          <w:jc w:val="center"/>
        </w:trPr>
        <w:tc>
          <w:tcPr>
            <w:tcW w:w="186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70F84" w:rsidRPr="007528C9" w:rsidRDefault="00D70F84" w:rsidP="00106083">
            <w:pPr>
              <w:pStyle w:val="TableHeading"/>
              <w:rPr>
                <w:noProof/>
                <w:lang w:val="fr-FR"/>
              </w:rPr>
            </w:pPr>
            <w:r w:rsidRPr="007528C9">
              <w:rPr>
                <w:noProof/>
                <w:lang w:val="fr-FR"/>
              </w:rPr>
              <w:t>Décimal</w:t>
            </w:r>
          </w:p>
        </w:tc>
        <w:tc>
          <w:tcPr>
            <w:tcW w:w="22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70F84" w:rsidRPr="007528C9" w:rsidRDefault="00D70F84" w:rsidP="003753F9">
            <w:pPr>
              <w:pStyle w:val="TableHeading"/>
              <w:rPr>
                <w:noProof/>
                <w:lang w:val="fr-FR"/>
              </w:rPr>
            </w:pPr>
            <w:r w:rsidRPr="007528C9">
              <w:rPr>
                <w:noProof/>
                <w:lang w:val="fr-FR"/>
              </w:rPr>
              <w:t>Binaire</w:t>
            </w:r>
          </w:p>
        </w:tc>
      </w:tr>
      <w:tr w:rsidR="00D70F84" w:rsidRPr="007528C9" w:rsidTr="00106083">
        <w:trPr>
          <w:cantSplit/>
          <w:jc w:val="center"/>
        </w:trPr>
        <w:tc>
          <w:tcPr>
            <w:tcW w:w="1863" w:type="dxa"/>
            <w:vAlign w:val="bottom"/>
          </w:tcPr>
          <w:p w:rsidR="00D70F84" w:rsidRPr="007528C9" w:rsidRDefault="00D70F84" w:rsidP="00106083">
            <w:pPr>
              <w:pStyle w:val="TableText"/>
              <w:jc w:val="center"/>
              <w:rPr>
                <w:noProof/>
                <w:lang w:val="fr-FR"/>
              </w:rPr>
            </w:pPr>
            <w:r w:rsidRPr="007528C9">
              <w:rPr>
                <w:noProof/>
                <w:lang w:val="fr-FR"/>
              </w:rPr>
              <w:t>0</w:t>
            </w:r>
          </w:p>
        </w:tc>
        <w:tc>
          <w:tcPr>
            <w:tcW w:w="2223" w:type="dxa"/>
            <w:vAlign w:val="bottom"/>
          </w:tcPr>
          <w:p w:rsidR="00D70F84" w:rsidRPr="007528C9" w:rsidRDefault="00D70F84" w:rsidP="00106083">
            <w:pPr>
              <w:pStyle w:val="TableText"/>
              <w:jc w:val="center"/>
              <w:rPr>
                <w:rStyle w:val="AnswerGray"/>
                <w:noProof/>
                <w:lang w:val="fr-FR"/>
              </w:rPr>
            </w:pPr>
          </w:p>
        </w:tc>
      </w:tr>
      <w:tr w:rsidR="00D70F84" w:rsidRPr="007528C9" w:rsidTr="00106083">
        <w:trPr>
          <w:cantSplit/>
          <w:jc w:val="center"/>
        </w:trPr>
        <w:tc>
          <w:tcPr>
            <w:tcW w:w="1863" w:type="dxa"/>
            <w:vAlign w:val="bottom"/>
          </w:tcPr>
          <w:p w:rsidR="00D70F84" w:rsidRPr="007528C9" w:rsidRDefault="00D70F84" w:rsidP="00106083">
            <w:pPr>
              <w:pStyle w:val="TableText"/>
              <w:jc w:val="center"/>
              <w:rPr>
                <w:noProof/>
                <w:lang w:val="fr-FR"/>
              </w:rPr>
            </w:pPr>
            <w:r w:rsidRPr="007528C9">
              <w:rPr>
                <w:noProof/>
                <w:lang w:val="fr-FR"/>
              </w:rPr>
              <w:t>128</w:t>
            </w:r>
          </w:p>
        </w:tc>
        <w:tc>
          <w:tcPr>
            <w:tcW w:w="2223" w:type="dxa"/>
            <w:vAlign w:val="bottom"/>
          </w:tcPr>
          <w:p w:rsidR="00D70F84" w:rsidRPr="007528C9" w:rsidRDefault="00D70F84" w:rsidP="00106083">
            <w:pPr>
              <w:pStyle w:val="TableText"/>
              <w:jc w:val="center"/>
              <w:rPr>
                <w:rStyle w:val="AnswerGray"/>
                <w:noProof/>
                <w:lang w:val="fr-FR"/>
              </w:rPr>
            </w:pPr>
          </w:p>
        </w:tc>
      </w:tr>
      <w:tr w:rsidR="00D70F84" w:rsidRPr="007528C9" w:rsidTr="00106083">
        <w:trPr>
          <w:cantSplit/>
          <w:jc w:val="center"/>
        </w:trPr>
        <w:tc>
          <w:tcPr>
            <w:tcW w:w="1863" w:type="dxa"/>
            <w:vAlign w:val="bottom"/>
          </w:tcPr>
          <w:p w:rsidR="00D70F84" w:rsidRPr="007528C9" w:rsidRDefault="00D70F84" w:rsidP="00106083">
            <w:pPr>
              <w:pStyle w:val="TableText"/>
              <w:jc w:val="center"/>
              <w:rPr>
                <w:noProof/>
                <w:lang w:val="fr-FR"/>
              </w:rPr>
            </w:pPr>
            <w:r w:rsidRPr="007528C9">
              <w:rPr>
                <w:noProof/>
                <w:lang w:val="fr-FR"/>
              </w:rPr>
              <w:t>192</w:t>
            </w:r>
          </w:p>
        </w:tc>
        <w:tc>
          <w:tcPr>
            <w:tcW w:w="2223" w:type="dxa"/>
            <w:vAlign w:val="bottom"/>
          </w:tcPr>
          <w:p w:rsidR="00D70F84" w:rsidRPr="007528C9" w:rsidRDefault="00D70F84" w:rsidP="00106083">
            <w:pPr>
              <w:pStyle w:val="TableText"/>
              <w:jc w:val="center"/>
              <w:rPr>
                <w:rStyle w:val="AnswerGray"/>
                <w:noProof/>
                <w:lang w:val="fr-FR"/>
              </w:rPr>
            </w:pPr>
          </w:p>
        </w:tc>
      </w:tr>
      <w:tr w:rsidR="00D70F84" w:rsidRPr="007528C9" w:rsidTr="00106083">
        <w:trPr>
          <w:cantSplit/>
          <w:jc w:val="center"/>
        </w:trPr>
        <w:tc>
          <w:tcPr>
            <w:tcW w:w="1863" w:type="dxa"/>
            <w:vAlign w:val="bottom"/>
          </w:tcPr>
          <w:p w:rsidR="00D70F84" w:rsidRPr="007528C9" w:rsidRDefault="00D70F84" w:rsidP="00106083">
            <w:pPr>
              <w:pStyle w:val="TableText"/>
              <w:jc w:val="center"/>
              <w:rPr>
                <w:noProof/>
                <w:lang w:val="fr-FR"/>
              </w:rPr>
            </w:pPr>
            <w:r w:rsidRPr="007528C9">
              <w:rPr>
                <w:noProof/>
                <w:lang w:val="fr-FR"/>
              </w:rPr>
              <w:t>224</w:t>
            </w:r>
          </w:p>
        </w:tc>
        <w:tc>
          <w:tcPr>
            <w:tcW w:w="2223" w:type="dxa"/>
            <w:vAlign w:val="bottom"/>
          </w:tcPr>
          <w:p w:rsidR="00D70F84" w:rsidRPr="007528C9" w:rsidRDefault="00D70F84" w:rsidP="00106083">
            <w:pPr>
              <w:pStyle w:val="TableText"/>
              <w:jc w:val="center"/>
              <w:rPr>
                <w:rStyle w:val="AnswerGray"/>
                <w:noProof/>
                <w:lang w:val="fr-FR"/>
              </w:rPr>
            </w:pPr>
          </w:p>
        </w:tc>
      </w:tr>
      <w:tr w:rsidR="00D70F84" w:rsidRPr="007528C9" w:rsidTr="00106083">
        <w:trPr>
          <w:cantSplit/>
          <w:jc w:val="center"/>
        </w:trPr>
        <w:tc>
          <w:tcPr>
            <w:tcW w:w="1863" w:type="dxa"/>
            <w:vAlign w:val="bottom"/>
          </w:tcPr>
          <w:p w:rsidR="00D70F84" w:rsidRPr="007528C9" w:rsidRDefault="00D70F84" w:rsidP="00106083">
            <w:pPr>
              <w:pStyle w:val="TableText"/>
              <w:jc w:val="center"/>
              <w:rPr>
                <w:noProof/>
                <w:lang w:val="fr-FR"/>
              </w:rPr>
            </w:pPr>
            <w:r w:rsidRPr="007528C9">
              <w:rPr>
                <w:noProof/>
                <w:lang w:val="fr-FR"/>
              </w:rPr>
              <w:t>240</w:t>
            </w:r>
          </w:p>
        </w:tc>
        <w:tc>
          <w:tcPr>
            <w:tcW w:w="2223" w:type="dxa"/>
            <w:vAlign w:val="bottom"/>
          </w:tcPr>
          <w:p w:rsidR="00D70F84" w:rsidRPr="007528C9" w:rsidRDefault="00D70F84" w:rsidP="00106083">
            <w:pPr>
              <w:pStyle w:val="TableText"/>
              <w:jc w:val="center"/>
              <w:rPr>
                <w:rStyle w:val="AnswerGray"/>
                <w:noProof/>
                <w:lang w:val="fr-FR"/>
              </w:rPr>
            </w:pPr>
          </w:p>
        </w:tc>
      </w:tr>
      <w:tr w:rsidR="00D70F84" w:rsidRPr="007528C9" w:rsidTr="00106083">
        <w:trPr>
          <w:cantSplit/>
          <w:jc w:val="center"/>
        </w:trPr>
        <w:tc>
          <w:tcPr>
            <w:tcW w:w="1863" w:type="dxa"/>
            <w:vAlign w:val="bottom"/>
          </w:tcPr>
          <w:p w:rsidR="00D70F84" w:rsidRPr="007528C9" w:rsidRDefault="00D70F84" w:rsidP="00106083">
            <w:pPr>
              <w:pStyle w:val="TableText"/>
              <w:jc w:val="center"/>
              <w:rPr>
                <w:noProof/>
                <w:lang w:val="fr-FR"/>
              </w:rPr>
            </w:pPr>
            <w:r w:rsidRPr="007528C9">
              <w:rPr>
                <w:noProof/>
                <w:lang w:val="fr-FR"/>
              </w:rPr>
              <w:t>248</w:t>
            </w:r>
          </w:p>
        </w:tc>
        <w:tc>
          <w:tcPr>
            <w:tcW w:w="2223" w:type="dxa"/>
            <w:vAlign w:val="bottom"/>
          </w:tcPr>
          <w:p w:rsidR="00D70F84" w:rsidRPr="007528C9" w:rsidRDefault="00D70F84" w:rsidP="00106083">
            <w:pPr>
              <w:pStyle w:val="TableText"/>
              <w:jc w:val="center"/>
              <w:rPr>
                <w:rStyle w:val="AnswerGray"/>
                <w:noProof/>
                <w:lang w:val="fr-FR"/>
              </w:rPr>
            </w:pPr>
          </w:p>
        </w:tc>
      </w:tr>
      <w:tr w:rsidR="00D70F84" w:rsidRPr="007528C9" w:rsidTr="00106083">
        <w:trPr>
          <w:cantSplit/>
          <w:jc w:val="center"/>
        </w:trPr>
        <w:tc>
          <w:tcPr>
            <w:tcW w:w="1863" w:type="dxa"/>
            <w:vAlign w:val="bottom"/>
          </w:tcPr>
          <w:p w:rsidR="00D70F84" w:rsidRPr="007528C9" w:rsidRDefault="00D70F84" w:rsidP="00106083">
            <w:pPr>
              <w:pStyle w:val="TableText"/>
              <w:jc w:val="center"/>
              <w:rPr>
                <w:noProof/>
                <w:lang w:val="fr-FR"/>
              </w:rPr>
            </w:pPr>
            <w:r w:rsidRPr="007528C9">
              <w:rPr>
                <w:noProof/>
                <w:lang w:val="fr-FR"/>
              </w:rPr>
              <w:t>252</w:t>
            </w:r>
          </w:p>
        </w:tc>
        <w:tc>
          <w:tcPr>
            <w:tcW w:w="2223" w:type="dxa"/>
            <w:vAlign w:val="bottom"/>
          </w:tcPr>
          <w:p w:rsidR="00D70F84" w:rsidRPr="007528C9" w:rsidRDefault="00D70F84" w:rsidP="00106083">
            <w:pPr>
              <w:pStyle w:val="TableText"/>
              <w:jc w:val="center"/>
              <w:rPr>
                <w:rStyle w:val="AnswerGray"/>
                <w:noProof/>
                <w:lang w:val="fr-FR"/>
              </w:rPr>
            </w:pPr>
          </w:p>
        </w:tc>
      </w:tr>
      <w:tr w:rsidR="00D70F84" w:rsidRPr="007528C9" w:rsidTr="00106083">
        <w:trPr>
          <w:cantSplit/>
          <w:jc w:val="center"/>
        </w:trPr>
        <w:tc>
          <w:tcPr>
            <w:tcW w:w="1863" w:type="dxa"/>
            <w:vAlign w:val="bottom"/>
          </w:tcPr>
          <w:p w:rsidR="00D70F84" w:rsidRPr="007528C9" w:rsidRDefault="00D70F84" w:rsidP="00106083">
            <w:pPr>
              <w:pStyle w:val="TableText"/>
              <w:jc w:val="center"/>
              <w:rPr>
                <w:noProof/>
                <w:lang w:val="fr-FR"/>
              </w:rPr>
            </w:pPr>
            <w:r w:rsidRPr="007528C9">
              <w:rPr>
                <w:noProof/>
                <w:lang w:val="fr-FR"/>
              </w:rPr>
              <w:t>254</w:t>
            </w:r>
          </w:p>
        </w:tc>
        <w:tc>
          <w:tcPr>
            <w:tcW w:w="2223" w:type="dxa"/>
            <w:vAlign w:val="bottom"/>
          </w:tcPr>
          <w:p w:rsidR="00D70F84" w:rsidRPr="007528C9" w:rsidRDefault="00D70F84" w:rsidP="00106083">
            <w:pPr>
              <w:pStyle w:val="TableText"/>
              <w:jc w:val="center"/>
              <w:rPr>
                <w:rStyle w:val="AnswerGray"/>
                <w:noProof/>
                <w:lang w:val="fr-FR"/>
              </w:rPr>
            </w:pPr>
          </w:p>
        </w:tc>
      </w:tr>
      <w:tr w:rsidR="00D70F84" w:rsidRPr="007528C9" w:rsidTr="00106083">
        <w:trPr>
          <w:cantSplit/>
          <w:jc w:val="center"/>
        </w:trPr>
        <w:tc>
          <w:tcPr>
            <w:tcW w:w="1863" w:type="dxa"/>
            <w:vAlign w:val="bottom"/>
          </w:tcPr>
          <w:p w:rsidR="00D70F84" w:rsidRPr="007528C9" w:rsidRDefault="00D70F84" w:rsidP="00106083">
            <w:pPr>
              <w:pStyle w:val="TableText"/>
              <w:jc w:val="center"/>
              <w:rPr>
                <w:noProof/>
                <w:lang w:val="fr-FR"/>
              </w:rPr>
            </w:pPr>
            <w:r w:rsidRPr="007528C9">
              <w:rPr>
                <w:noProof/>
                <w:lang w:val="fr-FR"/>
              </w:rPr>
              <w:t>255</w:t>
            </w:r>
          </w:p>
        </w:tc>
        <w:tc>
          <w:tcPr>
            <w:tcW w:w="2223" w:type="dxa"/>
            <w:vAlign w:val="bottom"/>
          </w:tcPr>
          <w:p w:rsidR="00D70F84" w:rsidRPr="007528C9" w:rsidRDefault="00D70F84" w:rsidP="00106083">
            <w:pPr>
              <w:pStyle w:val="TableText"/>
              <w:jc w:val="center"/>
              <w:rPr>
                <w:rStyle w:val="AnswerGray"/>
                <w:noProof/>
                <w:lang w:val="fr-FR"/>
              </w:rPr>
            </w:pPr>
          </w:p>
        </w:tc>
      </w:tr>
    </w:tbl>
    <w:p w:rsidR="00E15DCE" w:rsidRPr="007528C9" w:rsidRDefault="00E15DCE" w:rsidP="00410BB1">
      <w:pPr>
        <w:pStyle w:val="SubStepAlpha"/>
        <w:rPr>
          <w:noProof/>
          <w:lang w:val="fr-FR"/>
        </w:rPr>
      </w:pPr>
      <w:r w:rsidRPr="007528C9">
        <w:rPr>
          <w:noProof/>
          <w:lang w:val="fr-FR"/>
        </w:rPr>
        <w:t>Avec la combinaison de l</w:t>
      </w:r>
      <w:r w:rsidR="00853098" w:rsidRPr="007528C9">
        <w:rPr>
          <w:noProof/>
          <w:lang w:val="fr-FR"/>
        </w:rPr>
        <w:t>’</w:t>
      </w:r>
      <w:r w:rsidRPr="007528C9">
        <w:rPr>
          <w:noProof/>
          <w:lang w:val="fr-FR"/>
        </w:rPr>
        <w:t>adresse IPv4 et du masque de sous-réseau, la partie réseau peut être déterminée et le nombre d</w:t>
      </w:r>
      <w:r w:rsidR="00853098" w:rsidRPr="007528C9">
        <w:rPr>
          <w:noProof/>
          <w:lang w:val="fr-FR"/>
        </w:rPr>
        <w:t>’</w:t>
      </w:r>
      <w:r w:rsidRPr="007528C9">
        <w:rPr>
          <w:noProof/>
          <w:lang w:val="fr-FR"/>
        </w:rPr>
        <w:t>hôtes disponibles sur un sous-réseau IPv4 donné peut également être calculé. Ce processus est examiné dans la quatrième partie.</w:t>
      </w:r>
    </w:p>
    <w:p w:rsidR="004332D8" w:rsidRPr="007528C9" w:rsidRDefault="00E24500" w:rsidP="00E24500">
      <w:pPr>
        <w:pStyle w:val="PartHead"/>
        <w:numPr>
          <w:ilvl w:val="0"/>
          <w:numId w:val="0"/>
        </w:numPr>
        <w:ind w:left="1411" w:hangingChars="504" w:hanging="1411"/>
        <w:rPr>
          <w:noProof/>
          <w:lang w:val="fr-FR"/>
        </w:rPr>
      </w:pPr>
      <w:r w:rsidRPr="007528C9">
        <w:rPr>
          <w:noProof/>
          <w:lang w:val="fr-FR" w:eastAsia="zh-CN"/>
        </w:rPr>
        <w:lastRenderedPageBreak/>
        <w:t>4</w:t>
      </w:r>
      <w:r w:rsidRPr="007528C9">
        <w:rPr>
          <w:noProof/>
          <w:lang w:val="fr-FR"/>
        </w:rPr>
        <w:t xml:space="preserve">e partie : </w:t>
      </w:r>
      <w:r w:rsidR="004332D8" w:rsidRPr="007528C9">
        <w:rPr>
          <w:noProof/>
          <w:lang w:val="fr-FR"/>
        </w:rPr>
        <w:t>Déterminer le nombre d</w:t>
      </w:r>
      <w:r w:rsidR="00853098" w:rsidRPr="007528C9">
        <w:rPr>
          <w:noProof/>
          <w:lang w:val="fr-FR"/>
        </w:rPr>
        <w:t>’</w:t>
      </w:r>
      <w:r w:rsidR="004332D8" w:rsidRPr="007528C9">
        <w:rPr>
          <w:noProof/>
          <w:lang w:val="fr-FR"/>
        </w:rPr>
        <w:t>hôtes dans un réseau grâce aux puissances de 2</w:t>
      </w:r>
    </w:p>
    <w:p w:rsidR="004332D8" w:rsidRPr="007528C9" w:rsidRDefault="004332D8" w:rsidP="00AA7B2E">
      <w:pPr>
        <w:pStyle w:val="BodyTextL25"/>
        <w:rPr>
          <w:noProof/>
          <w:lang w:val="fr-FR"/>
        </w:rPr>
      </w:pPr>
      <w:r w:rsidRPr="007528C9">
        <w:rPr>
          <w:noProof/>
          <w:lang w:val="fr-FR"/>
        </w:rPr>
        <w:t>À l</w:t>
      </w:r>
      <w:r w:rsidR="00853098" w:rsidRPr="007528C9">
        <w:rPr>
          <w:noProof/>
          <w:lang w:val="fr-FR"/>
        </w:rPr>
        <w:t>’</w:t>
      </w:r>
      <w:r w:rsidRPr="007528C9">
        <w:rPr>
          <w:noProof/>
          <w:lang w:val="fr-FR"/>
        </w:rPr>
        <w:t>aide de l</w:t>
      </w:r>
      <w:r w:rsidR="00853098" w:rsidRPr="007528C9">
        <w:rPr>
          <w:noProof/>
          <w:lang w:val="fr-FR"/>
        </w:rPr>
        <w:t>’</w:t>
      </w:r>
      <w:r w:rsidRPr="007528C9">
        <w:rPr>
          <w:noProof/>
          <w:lang w:val="fr-FR"/>
        </w:rPr>
        <w:t>adresse réseau IPv4 et du masque de sous-réseau, la partie réseau peut être déterminée en même temps que le nombre d</w:t>
      </w:r>
      <w:r w:rsidR="00853098" w:rsidRPr="007528C9">
        <w:rPr>
          <w:noProof/>
          <w:lang w:val="fr-FR"/>
        </w:rPr>
        <w:t>’</w:t>
      </w:r>
      <w:r w:rsidRPr="007528C9">
        <w:rPr>
          <w:noProof/>
          <w:lang w:val="fr-FR"/>
        </w:rPr>
        <w:t xml:space="preserve">hôtes disponibles </w:t>
      </w:r>
      <w:r w:rsidR="009505A8" w:rsidRPr="007528C9">
        <w:rPr>
          <w:noProof/>
          <w:lang w:val="fr-FR"/>
        </w:rPr>
        <w:t>du réseau</w:t>
      </w:r>
      <w:r w:rsidRPr="007528C9">
        <w:rPr>
          <w:noProof/>
          <w:lang w:val="fr-FR"/>
        </w:rPr>
        <w:t>.</w:t>
      </w:r>
    </w:p>
    <w:p w:rsidR="00086294" w:rsidRPr="007528C9" w:rsidRDefault="004B21A5" w:rsidP="00E24500">
      <w:pPr>
        <w:pStyle w:val="SubStepAlpha"/>
        <w:numPr>
          <w:ilvl w:val="2"/>
          <w:numId w:val="12"/>
        </w:numPr>
        <w:rPr>
          <w:noProof/>
          <w:spacing w:val="-4"/>
          <w:lang w:val="fr-FR"/>
        </w:rPr>
      </w:pPr>
      <w:r w:rsidRPr="007528C9">
        <w:rPr>
          <w:noProof/>
          <w:spacing w:val="-4"/>
          <w:lang w:val="fr-FR"/>
        </w:rPr>
        <w:t>Pour calculer le nombre d</w:t>
      </w:r>
      <w:r w:rsidR="00853098" w:rsidRPr="007528C9">
        <w:rPr>
          <w:noProof/>
          <w:spacing w:val="-4"/>
          <w:lang w:val="fr-FR"/>
        </w:rPr>
        <w:t>’</w:t>
      </w:r>
      <w:r w:rsidRPr="007528C9">
        <w:rPr>
          <w:noProof/>
          <w:spacing w:val="-4"/>
          <w:lang w:val="fr-FR"/>
        </w:rPr>
        <w:t>hôtes sur un réseau, vous devez déterminer le réseau et la partie hôte de l</w:t>
      </w:r>
      <w:r w:rsidR="00853098" w:rsidRPr="007528C9">
        <w:rPr>
          <w:noProof/>
          <w:spacing w:val="-4"/>
          <w:lang w:val="fr-FR"/>
        </w:rPr>
        <w:t>’</w:t>
      </w:r>
      <w:r w:rsidRPr="007528C9">
        <w:rPr>
          <w:noProof/>
          <w:spacing w:val="-4"/>
          <w:lang w:val="fr-FR"/>
        </w:rPr>
        <w:t>adresse.</w:t>
      </w:r>
    </w:p>
    <w:p w:rsidR="004332D8" w:rsidRPr="007528C9" w:rsidRDefault="004332D8" w:rsidP="001C795A">
      <w:pPr>
        <w:pStyle w:val="BodyTextL50"/>
        <w:rPr>
          <w:noProof/>
          <w:lang w:val="fr-FR"/>
        </w:rPr>
      </w:pPr>
      <w:r w:rsidRPr="007528C9">
        <w:rPr>
          <w:noProof/>
          <w:lang w:val="fr-FR"/>
        </w:rPr>
        <w:t>Dans l</w:t>
      </w:r>
      <w:r w:rsidR="00853098" w:rsidRPr="007528C9">
        <w:rPr>
          <w:noProof/>
          <w:lang w:val="fr-FR"/>
        </w:rPr>
        <w:t>’</w:t>
      </w:r>
      <w:r w:rsidRPr="007528C9">
        <w:rPr>
          <w:noProof/>
          <w:lang w:val="fr-FR"/>
        </w:rPr>
        <w:t>exemple 192.168.1.10 avec un sous-réseau 255.255.248.0, l</w:t>
      </w:r>
      <w:r w:rsidR="00853098" w:rsidRPr="007528C9">
        <w:rPr>
          <w:noProof/>
          <w:lang w:val="fr-FR"/>
        </w:rPr>
        <w:t>’</w:t>
      </w:r>
      <w:r w:rsidRPr="007528C9">
        <w:rPr>
          <w:noProof/>
          <w:lang w:val="fr-FR"/>
        </w:rPr>
        <w:t>adresse et le masque de sous-réseau sont convertis en nombres binaires. Alignez les bits pendant que vous consignez vos conversions en nombres binaires.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3860"/>
        <w:gridCol w:w="4939"/>
      </w:tblGrid>
      <w:tr w:rsidR="00AA7B2E" w:rsidRPr="00736480" w:rsidTr="00A60259">
        <w:trPr>
          <w:cantSplit/>
          <w:jc w:val="center"/>
        </w:trPr>
        <w:tc>
          <w:tcPr>
            <w:tcW w:w="38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A7B2E" w:rsidRPr="007528C9" w:rsidRDefault="00AA7B2E" w:rsidP="00106083">
            <w:pPr>
              <w:pStyle w:val="TableHeading"/>
              <w:rPr>
                <w:noProof/>
                <w:lang w:val="fr-FR"/>
              </w:rPr>
            </w:pPr>
            <w:r w:rsidRPr="007528C9">
              <w:rPr>
                <w:noProof/>
                <w:lang w:val="fr-FR"/>
              </w:rPr>
              <w:t>Adresse IP et masque de sous-réseau au format décimal</w:t>
            </w:r>
          </w:p>
        </w:tc>
        <w:tc>
          <w:tcPr>
            <w:tcW w:w="493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A7B2E" w:rsidRPr="007528C9" w:rsidRDefault="00AA7B2E" w:rsidP="00106083">
            <w:pPr>
              <w:pStyle w:val="TableHeading"/>
              <w:rPr>
                <w:noProof/>
                <w:lang w:val="fr-FR"/>
              </w:rPr>
            </w:pPr>
            <w:r w:rsidRPr="007528C9">
              <w:rPr>
                <w:noProof/>
                <w:lang w:val="fr-FR"/>
              </w:rPr>
              <w:t>Adresse IP et masque de sous-réseau au format binaire</w:t>
            </w:r>
          </w:p>
        </w:tc>
      </w:tr>
      <w:tr w:rsidR="00AA7B2E" w:rsidRPr="007528C9" w:rsidTr="00A60259">
        <w:trPr>
          <w:cantSplit/>
          <w:jc w:val="center"/>
        </w:trPr>
        <w:tc>
          <w:tcPr>
            <w:tcW w:w="3860" w:type="dxa"/>
            <w:vAlign w:val="bottom"/>
          </w:tcPr>
          <w:p w:rsidR="00AA7B2E" w:rsidRPr="007528C9" w:rsidRDefault="00AA7B2E" w:rsidP="00564BF7">
            <w:pPr>
              <w:pStyle w:val="TableText"/>
              <w:rPr>
                <w:noProof/>
                <w:lang w:val="fr-FR"/>
              </w:rPr>
            </w:pPr>
            <w:r w:rsidRPr="007528C9">
              <w:rPr>
                <w:noProof/>
                <w:lang w:val="fr-FR"/>
              </w:rPr>
              <w:t>192.168.1.10</w:t>
            </w:r>
          </w:p>
        </w:tc>
        <w:tc>
          <w:tcPr>
            <w:tcW w:w="4939" w:type="dxa"/>
            <w:vAlign w:val="bottom"/>
          </w:tcPr>
          <w:p w:rsidR="00AA7B2E" w:rsidRPr="007528C9" w:rsidRDefault="00AA7B2E" w:rsidP="00951F49">
            <w:pPr>
              <w:pStyle w:val="TableText"/>
              <w:rPr>
                <w:rStyle w:val="AnswerGray"/>
                <w:noProof/>
                <w:lang w:val="fr-FR"/>
              </w:rPr>
            </w:pPr>
          </w:p>
        </w:tc>
      </w:tr>
      <w:tr w:rsidR="00AA7B2E" w:rsidRPr="007528C9" w:rsidTr="00A60259">
        <w:trPr>
          <w:cantSplit/>
          <w:jc w:val="center"/>
        </w:trPr>
        <w:tc>
          <w:tcPr>
            <w:tcW w:w="3860" w:type="dxa"/>
            <w:vAlign w:val="bottom"/>
          </w:tcPr>
          <w:p w:rsidR="00AA7B2E" w:rsidRPr="007528C9" w:rsidRDefault="00AA7B2E" w:rsidP="00564BF7">
            <w:pPr>
              <w:pStyle w:val="TableText"/>
              <w:rPr>
                <w:noProof/>
                <w:lang w:val="fr-FR"/>
              </w:rPr>
            </w:pPr>
            <w:r w:rsidRPr="007528C9">
              <w:rPr>
                <w:noProof/>
                <w:lang w:val="fr-FR"/>
              </w:rPr>
              <w:t>255.255.248.0</w:t>
            </w:r>
          </w:p>
        </w:tc>
        <w:tc>
          <w:tcPr>
            <w:tcW w:w="4939" w:type="dxa"/>
            <w:vAlign w:val="bottom"/>
          </w:tcPr>
          <w:p w:rsidR="00AA7B2E" w:rsidRPr="007528C9" w:rsidRDefault="00AA7B2E" w:rsidP="00951F49">
            <w:pPr>
              <w:pStyle w:val="TableText"/>
              <w:rPr>
                <w:rStyle w:val="AnswerGray"/>
                <w:noProof/>
                <w:lang w:val="fr-FR"/>
              </w:rPr>
            </w:pPr>
          </w:p>
        </w:tc>
      </w:tr>
    </w:tbl>
    <w:p w:rsidR="003C3939" w:rsidRPr="007528C9" w:rsidRDefault="009F6255" w:rsidP="00750E36">
      <w:pPr>
        <w:pStyle w:val="BodyTextL50"/>
        <w:rPr>
          <w:noProof/>
          <w:lang w:val="fr-FR"/>
        </w:rPr>
      </w:pPr>
      <w:r w:rsidRPr="007528C9">
        <w:rPr>
          <w:noProof/>
          <w:lang w:val="fr-FR"/>
        </w:rPr>
        <w:t>Puisque les 21 premiers bits du masque de sous-réseau sont des bits numériques consécutifs, les 21 premiers bits correspondants de l</w:t>
      </w:r>
      <w:r w:rsidR="00853098" w:rsidRPr="007528C9">
        <w:rPr>
          <w:noProof/>
          <w:lang w:val="fr-FR"/>
        </w:rPr>
        <w:t>’</w:t>
      </w:r>
      <w:r w:rsidRPr="007528C9">
        <w:rPr>
          <w:noProof/>
          <w:lang w:val="fr-FR"/>
        </w:rPr>
        <w:t>adresse IP au format binaire sont 110000001010100000000 ; ces chiffres représentent la partie réseau de l</w:t>
      </w:r>
      <w:r w:rsidR="00853098" w:rsidRPr="007528C9">
        <w:rPr>
          <w:noProof/>
          <w:lang w:val="fr-FR"/>
        </w:rPr>
        <w:t>’</w:t>
      </w:r>
      <w:r w:rsidRPr="007528C9">
        <w:rPr>
          <w:noProof/>
          <w:lang w:val="fr-FR"/>
        </w:rPr>
        <w:t>adresse. Les 11 bits restants sont 00100001010 et ils représentent la partie hôte de l</w:t>
      </w:r>
      <w:r w:rsidR="00853098" w:rsidRPr="007528C9">
        <w:rPr>
          <w:noProof/>
          <w:lang w:val="fr-FR"/>
        </w:rPr>
        <w:t>’</w:t>
      </w:r>
      <w:r w:rsidRPr="007528C9">
        <w:rPr>
          <w:noProof/>
          <w:lang w:val="fr-FR"/>
        </w:rPr>
        <w:t>adresse.</w:t>
      </w:r>
    </w:p>
    <w:p w:rsidR="005D522B" w:rsidRPr="007528C9" w:rsidRDefault="009F6255" w:rsidP="00750E36">
      <w:pPr>
        <w:pStyle w:val="BodyTextL50"/>
        <w:rPr>
          <w:noProof/>
          <w:lang w:val="fr-FR"/>
        </w:rPr>
      </w:pPr>
      <w:r w:rsidRPr="007528C9">
        <w:rPr>
          <w:noProof/>
          <w:lang w:val="fr-FR"/>
        </w:rPr>
        <w:t>Quel est le numéro de réseau décimal et binaire pour cette adresse ?</w:t>
      </w:r>
    </w:p>
    <w:p w:rsidR="003C3939" w:rsidRPr="007528C9" w:rsidRDefault="003C3939" w:rsidP="00750E36">
      <w:pPr>
        <w:pStyle w:val="BodyTextL50"/>
        <w:rPr>
          <w:noProof/>
          <w:lang w:val="fr-FR"/>
        </w:rPr>
      </w:pPr>
      <w:r w:rsidRPr="007528C9">
        <w:rPr>
          <w:noProof/>
          <w:lang w:val="fr-FR"/>
        </w:rPr>
        <w:t>____________________________________________________________________________________</w:t>
      </w:r>
    </w:p>
    <w:p w:rsidR="005D522B" w:rsidRPr="007528C9" w:rsidRDefault="009F6255" w:rsidP="005D522B">
      <w:pPr>
        <w:pStyle w:val="BodyTextL50"/>
        <w:rPr>
          <w:noProof/>
          <w:lang w:val="fr-FR"/>
        </w:rPr>
      </w:pPr>
      <w:r w:rsidRPr="007528C9">
        <w:rPr>
          <w:noProof/>
          <w:lang w:val="fr-FR"/>
        </w:rPr>
        <w:t>Quelle est la partie hôte décimale et binaire pour cette adresse ?</w:t>
      </w:r>
    </w:p>
    <w:p w:rsidR="00820DBC" w:rsidRPr="007528C9" w:rsidRDefault="00820DBC" w:rsidP="005D522B">
      <w:pPr>
        <w:pStyle w:val="BodyTextL50"/>
        <w:rPr>
          <w:noProof/>
          <w:lang w:val="fr-FR"/>
        </w:rPr>
      </w:pPr>
      <w:r w:rsidRPr="007528C9">
        <w:rPr>
          <w:noProof/>
          <w:lang w:val="fr-FR"/>
        </w:rPr>
        <w:t>____________________________________________________________________________________</w:t>
      </w:r>
    </w:p>
    <w:p w:rsidR="00AA7B2E" w:rsidRPr="007528C9" w:rsidRDefault="001C795A" w:rsidP="00750E36">
      <w:pPr>
        <w:pStyle w:val="BodyTextL50"/>
        <w:rPr>
          <w:noProof/>
          <w:lang w:val="fr-FR"/>
        </w:rPr>
      </w:pPr>
      <w:r w:rsidRPr="007528C9">
        <w:rPr>
          <w:noProof/>
          <w:lang w:val="fr-FR"/>
        </w:rPr>
        <w:t>Puisque le numéro de réseau et l</w:t>
      </w:r>
      <w:r w:rsidR="00853098" w:rsidRPr="007528C9">
        <w:rPr>
          <w:noProof/>
          <w:lang w:val="fr-FR"/>
        </w:rPr>
        <w:t>’</w:t>
      </w:r>
      <w:r w:rsidRPr="007528C9">
        <w:rPr>
          <w:noProof/>
          <w:lang w:val="fr-FR"/>
        </w:rPr>
        <w:t>adresse de diffusion utilisent deux adresses du sous-réseau, la formule permettant de déterminer le nombre d</w:t>
      </w:r>
      <w:r w:rsidR="00853098" w:rsidRPr="007528C9">
        <w:rPr>
          <w:noProof/>
          <w:lang w:val="fr-FR"/>
        </w:rPr>
        <w:t>’</w:t>
      </w:r>
      <w:r w:rsidRPr="007528C9">
        <w:rPr>
          <w:noProof/>
          <w:lang w:val="fr-FR"/>
        </w:rPr>
        <w:t>hôtes disponibles sur un sous-réseau IPv4 correspond au chiffre 2 à la puissance du nombre de bits d</w:t>
      </w:r>
      <w:r w:rsidR="00853098" w:rsidRPr="007528C9">
        <w:rPr>
          <w:noProof/>
          <w:lang w:val="fr-FR"/>
        </w:rPr>
        <w:t>’</w:t>
      </w:r>
      <w:r w:rsidRPr="007528C9">
        <w:rPr>
          <w:noProof/>
          <w:lang w:val="fr-FR"/>
        </w:rPr>
        <w:t>hôte disponibles, moins 2</w:t>
      </w:r>
      <w:r w:rsidR="006A45A0">
        <w:rPr>
          <w:rFonts w:eastAsia="SimSun" w:hint="eastAsia"/>
          <w:noProof/>
          <w:lang w:val="fr-FR" w:eastAsia="zh-CN"/>
        </w:rPr>
        <w:t xml:space="preserve"> </w:t>
      </w:r>
      <w:r w:rsidRPr="007528C9">
        <w:rPr>
          <w:noProof/>
          <w:lang w:val="fr-FR"/>
        </w:rPr>
        <w:t>:</w:t>
      </w:r>
    </w:p>
    <w:p w:rsidR="001C795A" w:rsidRPr="007528C9" w:rsidRDefault="001C795A" w:rsidP="001C795A">
      <w:pPr>
        <w:pStyle w:val="BodyTextL50"/>
        <w:jc w:val="center"/>
        <w:rPr>
          <w:rFonts w:ascii="Courier New" w:hAnsi="Courier New" w:cs="Courier New"/>
          <w:noProof/>
          <w:lang w:val="fr-FR"/>
        </w:rPr>
      </w:pPr>
      <w:r w:rsidRPr="007528C9">
        <w:rPr>
          <w:noProof/>
          <w:lang w:val="fr-FR"/>
        </w:rPr>
        <w:t>Nombre d</w:t>
      </w:r>
      <w:r w:rsidR="00853098" w:rsidRPr="007528C9">
        <w:rPr>
          <w:noProof/>
          <w:lang w:val="fr-FR"/>
        </w:rPr>
        <w:t>’</w:t>
      </w:r>
      <w:r w:rsidRPr="007528C9">
        <w:rPr>
          <w:noProof/>
          <w:lang w:val="fr-FR"/>
        </w:rPr>
        <w:t>hôtes disponibles = 2</w:t>
      </w:r>
      <w:r w:rsidRPr="007528C9">
        <w:rPr>
          <w:noProof/>
          <w:vertAlign w:val="superscript"/>
          <w:lang w:val="fr-FR"/>
        </w:rPr>
        <w:t xml:space="preserve"> (nombre de bits d</w:t>
      </w:r>
      <w:r w:rsidR="00853098" w:rsidRPr="007528C9">
        <w:rPr>
          <w:noProof/>
          <w:vertAlign w:val="superscript"/>
          <w:lang w:val="fr-FR"/>
        </w:rPr>
        <w:t>’</w:t>
      </w:r>
      <w:r w:rsidRPr="007528C9">
        <w:rPr>
          <w:noProof/>
          <w:vertAlign w:val="superscript"/>
          <w:lang w:val="fr-FR"/>
        </w:rPr>
        <w:t>hôte)</w:t>
      </w:r>
      <w:r w:rsidRPr="007528C9">
        <w:rPr>
          <w:noProof/>
          <w:lang w:val="fr-FR"/>
        </w:rPr>
        <w:t xml:space="preserve"> – 2</w:t>
      </w:r>
    </w:p>
    <w:p w:rsidR="001C795A" w:rsidRPr="007528C9" w:rsidRDefault="001C795A" w:rsidP="001C795A">
      <w:pPr>
        <w:pStyle w:val="SubStepAlpha"/>
        <w:rPr>
          <w:noProof/>
          <w:lang w:val="fr-FR"/>
        </w:rPr>
      </w:pPr>
      <w:r w:rsidRPr="007528C9">
        <w:rPr>
          <w:noProof/>
          <w:lang w:val="fr-FR"/>
        </w:rPr>
        <w:t>À l</w:t>
      </w:r>
      <w:r w:rsidR="00853098" w:rsidRPr="007528C9">
        <w:rPr>
          <w:noProof/>
          <w:lang w:val="fr-FR"/>
        </w:rPr>
        <w:t>’</w:t>
      </w:r>
      <w:r w:rsidRPr="007528C9">
        <w:rPr>
          <w:noProof/>
          <w:lang w:val="fr-FR"/>
        </w:rPr>
        <w:t xml:space="preserve">aide de la calculatrice Windows, basculez en mode scientifique en cliquant sur le menu </w:t>
      </w:r>
      <w:r w:rsidRPr="007528C9">
        <w:rPr>
          <w:b/>
          <w:noProof/>
          <w:lang w:val="fr-FR"/>
        </w:rPr>
        <w:t>Affichage</w:t>
      </w:r>
      <w:r w:rsidRPr="007528C9">
        <w:rPr>
          <w:noProof/>
          <w:lang w:val="fr-FR"/>
        </w:rPr>
        <w:t>, puis sélectionnez</w:t>
      </w:r>
      <w:r w:rsidRPr="007528C9">
        <w:rPr>
          <w:b/>
          <w:noProof/>
          <w:lang w:val="fr-FR"/>
        </w:rPr>
        <w:t xml:space="preserve"> Scientifique</w:t>
      </w:r>
      <w:r w:rsidRPr="007528C9">
        <w:rPr>
          <w:noProof/>
          <w:lang w:val="fr-FR"/>
        </w:rPr>
        <w:t>.</w:t>
      </w:r>
    </w:p>
    <w:p w:rsidR="001C795A" w:rsidRPr="007528C9" w:rsidRDefault="001C795A" w:rsidP="001C795A">
      <w:pPr>
        <w:pStyle w:val="SubStepAlpha"/>
        <w:rPr>
          <w:noProof/>
          <w:lang w:val="fr-FR"/>
        </w:rPr>
      </w:pPr>
      <w:r w:rsidRPr="007528C9">
        <w:rPr>
          <w:noProof/>
          <w:lang w:val="fr-FR"/>
        </w:rPr>
        <w:t>Entrez </w:t>
      </w:r>
      <w:r w:rsidRPr="007528C9">
        <w:rPr>
          <w:b/>
          <w:noProof/>
          <w:lang w:val="fr-FR"/>
        </w:rPr>
        <w:t>2.</w:t>
      </w:r>
      <w:r w:rsidRPr="007528C9">
        <w:rPr>
          <w:noProof/>
          <w:lang w:val="fr-FR"/>
        </w:rPr>
        <w:t xml:space="preserve"> Cliquez sur la touche </w:t>
      </w:r>
      <w:r w:rsidRPr="007528C9">
        <w:rPr>
          <w:b/>
          <w:noProof/>
          <w:lang w:val="fr-FR"/>
        </w:rPr>
        <w:t>x</w:t>
      </w:r>
      <w:r w:rsidRPr="007528C9">
        <w:rPr>
          <w:b/>
          <w:noProof/>
          <w:vertAlign w:val="superscript"/>
          <w:lang w:val="fr-FR"/>
        </w:rPr>
        <w:t>y</w:t>
      </w:r>
      <w:r w:rsidRPr="007528C9">
        <w:rPr>
          <w:noProof/>
          <w:lang w:val="fr-FR"/>
        </w:rPr>
        <w:t>. Cette touche élève un nombre à une puissance.</w:t>
      </w:r>
    </w:p>
    <w:p w:rsidR="001C795A" w:rsidRPr="007528C9" w:rsidRDefault="001C795A" w:rsidP="001C795A">
      <w:pPr>
        <w:pStyle w:val="SubStepAlpha"/>
        <w:rPr>
          <w:noProof/>
          <w:lang w:val="fr-FR"/>
        </w:rPr>
      </w:pPr>
      <w:r w:rsidRPr="007528C9">
        <w:rPr>
          <w:noProof/>
          <w:lang w:val="fr-FR"/>
        </w:rPr>
        <w:t>Entrez </w:t>
      </w:r>
      <w:r w:rsidRPr="007528C9">
        <w:rPr>
          <w:b/>
          <w:noProof/>
          <w:lang w:val="fr-FR"/>
        </w:rPr>
        <w:t>11.</w:t>
      </w:r>
      <w:r w:rsidRPr="007528C9">
        <w:rPr>
          <w:noProof/>
          <w:lang w:val="fr-FR"/>
        </w:rPr>
        <w:t xml:space="preserve"> Cliquez sur </w:t>
      </w:r>
      <w:r w:rsidRPr="007528C9">
        <w:rPr>
          <w:b/>
          <w:noProof/>
          <w:lang w:val="fr-FR"/>
        </w:rPr>
        <w:t>=</w:t>
      </w:r>
      <w:r w:rsidRPr="007528C9">
        <w:rPr>
          <w:noProof/>
          <w:lang w:val="fr-FR"/>
        </w:rPr>
        <w:t>, ou appuyez sur Entrée sur le clavier pour connaître la réponse.</w:t>
      </w:r>
    </w:p>
    <w:p w:rsidR="001C795A" w:rsidRPr="007528C9" w:rsidRDefault="008A3348" w:rsidP="001C795A">
      <w:pPr>
        <w:pStyle w:val="SubStepAlpha"/>
        <w:rPr>
          <w:noProof/>
          <w:lang w:val="fr-FR"/>
        </w:rPr>
      </w:pPr>
      <w:r w:rsidRPr="007528C9">
        <w:rPr>
          <w:noProof/>
          <w:lang w:val="fr-FR"/>
        </w:rPr>
        <w:t>Soustrayez</w:t>
      </w:r>
      <w:r w:rsidRPr="007528C9">
        <w:rPr>
          <w:b/>
          <w:noProof/>
          <w:lang w:val="fr-FR"/>
        </w:rPr>
        <w:t xml:space="preserve"> 2</w:t>
      </w:r>
      <w:r w:rsidRPr="007528C9">
        <w:rPr>
          <w:noProof/>
          <w:lang w:val="fr-FR"/>
        </w:rPr>
        <w:t xml:space="preserve"> de la réponse en utilisant la calculatrice si vous le souhaitez.</w:t>
      </w:r>
    </w:p>
    <w:p w:rsidR="001C795A" w:rsidRPr="007528C9" w:rsidRDefault="001C795A" w:rsidP="001C795A">
      <w:pPr>
        <w:pStyle w:val="SubStepAlpha"/>
        <w:rPr>
          <w:noProof/>
          <w:lang w:val="fr-FR"/>
        </w:rPr>
      </w:pPr>
      <w:r w:rsidRPr="007528C9">
        <w:rPr>
          <w:noProof/>
          <w:lang w:val="fr-FR"/>
        </w:rPr>
        <w:t>Dans cet exemple, 2046 hôtes sont disponibles sur ce réseau (2</w:t>
      </w:r>
      <w:r w:rsidRPr="007528C9">
        <w:rPr>
          <w:noProof/>
          <w:vertAlign w:val="superscript"/>
          <w:lang w:val="fr-FR"/>
        </w:rPr>
        <w:t>11</w:t>
      </w:r>
      <w:r w:rsidRPr="007528C9">
        <w:rPr>
          <w:noProof/>
          <w:lang w:val="fr-FR"/>
        </w:rPr>
        <w:t xml:space="preserve"> -2).</w:t>
      </w:r>
    </w:p>
    <w:p w:rsidR="007A055C" w:rsidRPr="007528C9" w:rsidRDefault="007A055C" w:rsidP="001C795A">
      <w:pPr>
        <w:pStyle w:val="SubStepAlpha"/>
        <w:rPr>
          <w:noProof/>
          <w:lang w:val="fr-FR"/>
        </w:rPr>
      </w:pPr>
      <w:r w:rsidRPr="007528C9">
        <w:rPr>
          <w:noProof/>
          <w:lang w:val="fr-FR"/>
        </w:rPr>
        <w:t>Si vous disposez du nombre de bits d</w:t>
      </w:r>
      <w:r w:rsidR="00853098" w:rsidRPr="007528C9">
        <w:rPr>
          <w:noProof/>
          <w:lang w:val="fr-FR"/>
        </w:rPr>
        <w:t>’</w:t>
      </w:r>
      <w:r w:rsidRPr="007528C9">
        <w:rPr>
          <w:noProof/>
          <w:lang w:val="fr-FR"/>
        </w:rPr>
        <w:t>hôtes, déterminez le nombre d</w:t>
      </w:r>
      <w:r w:rsidR="00853098" w:rsidRPr="007528C9">
        <w:rPr>
          <w:noProof/>
          <w:lang w:val="fr-FR"/>
        </w:rPr>
        <w:t>’</w:t>
      </w:r>
      <w:r w:rsidRPr="007528C9">
        <w:rPr>
          <w:noProof/>
          <w:lang w:val="fr-FR"/>
        </w:rPr>
        <w:t>hôtes disponibles et consignez le nombre dans la table suivante.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3182"/>
        <w:gridCol w:w="2811"/>
      </w:tblGrid>
      <w:tr w:rsidR="007A055C" w:rsidRPr="007528C9" w:rsidTr="00106083">
        <w:trPr>
          <w:cantSplit/>
          <w:jc w:val="center"/>
        </w:trPr>
        <w:tc>
          <w:tcPr>
            <w:tcW w:w="31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A055C" w:rsidRPr="007528C9" w:rsidRDefault="007A055C" w:rsidP="007528C9">
            <w:pPr>
              <w:pStyle w:val="TableHeading"/>
              <w:keepNext w:val="0"/>
              <w:rPr>
                <w:noProof/>
                <w:lang w:val="fr-FR"/>
              </w:rPr>
            </w:pPr>
            <w:r w:rsidRPr="007528C9">
              <w:rPr>
                <w:noProof/>
                <w:lang w:val="fr-FR"/>
              </w:rPr>
              <w:t>Nombre de bits d</w:t>
            </w:r>
            <w:r w:rsidR="00853098" w:rsidRPr="007528C9">
              <w:rPr>
                <w:noProof/>
                <w:lang w:val="fr-FR"/>
              </w:rPr>
              <w:t>’</w:t>
            </w:r>
            <w:r w:rsidRPr="007528C9">
              <w:rPr>
                <w:noProof/>
                <w:lang w:val="fr-FR"/>
              </w:rPr>
              <w:t>hôtes disponibles</w:t>
            </w:r>
          </w:p>
        </w:tc>
        <w:tc>
          <w:tcPr>
            <w:tcW w:w="281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A055C" w:rsidRPr="007528C9" w:rsidRDefault="007A055C" w:rsidP="007528C9">
            <w:pPr>
              <w:pStyle w:val="TableHeading"/>
              <w:keepNext w:val="0"/>
              <w:rPr>
                <w:noProof/>
                <w:lang w:val="fr-FR"/>
              </w:rPr>
            </w:pPr>
            <w:r w:rsidRPr="007528C9">
              <w:rPr>
                <w:noProof/>
                <w:lang w:val="fr-FR"/>
              </w:rPr>
              <w:t>Nombre d</w:t>
            </w:r>
            <w:r w:rsidR="00853098" w:rsidRPr="007528C9">
              <w:rPr>
                <w:noProof/>
                <w:lang w:val="fr-FR"/>
              </w:rPr>
              <w:t>’</w:t>
            </w:r>
            <w:r w:rsidRPr="007528C9">
              <w:rPr>
                <w:noProof/>
                <w:lang w:val="fr-FR"/>
              </w:rPr>
              <w:t>hôtes disponibles</w:t>
            </w:r>
          </w:p>
        </w:tc>
      </w:tr>
      <w:tr w:rsidR="007A055C" w:rsidRPr="007528C9" w:rsidTr="00106083">
        <w:trPr>
          <w:cantSplit/>
          <w:jc w:val="center"/>
        </w:trPr>
        <w:tc>
          <w:tcPr>
            <w:tcW w:w="3182" w:type="dxa"/>
            <w:vAlign w:val="bottom"/>
          </w:tcPr>
          <w:p w:rsidR="007A055C" w:rsidRPr="007528C9" w:rsidRDefault="007A055C" w:rsidP="007528C9">
            <w:pPr>
              <w:pStyle w:val="TableText"/>
              <w:keepNext w:val="0"/>
              <w:jc w:val="center"/>
              <w:rPr>
                <w:noProof/>
                <w:lang w:val="fr-FR"/>
              </w:rPr>
            </w:pPr>
            <w:r w:rsidRPr="007528C9">
              <w:rPr>
                <w:noProof/>
                <w:lang w:val="fr-FR"/>
              </w:rPr>
              <w:t>5</w:t>
            </w:r>
          </w:p>
        </w:tc>
        <w:tc>
          <w:tcPr>
            <w:tcW w:w="2811" w:type="dxa"/>
            <w:vAlign w:val="bottom"/>
          </w:tcPr>
          <w:p w:rsidR="007A055C" w:rsidRPr="007528C9" w:rsidRDefault="007A055C" w:rsidP="007528C9">
            <w:pPr>
              <w:pStyle w:val="TableText"/>
              <w:keepNext w:val="0"/>
              <w:jc w:val="center"/>
              <w:rPr>
                <w:rStyle w:val="AnswerGray"/>
                <w:noProof/>
                <w:lang w:val="fr-FR"/>
              </w:rPr>
            </w:pPr>
          </w:p>
        </w:tc>
      </w:tr>
      <w:tr w:rsidR="007A055C" w:rsidRPr="007528C9" w:rsidTr="00106083">
        <w:trPr>
          <w:cantSplit/>
          <w:jc w:val="center"/>
        </w:trPr>
        <w:tc>
          <w:tcPr>
            <w:tcW w:w="3182" w:type="dxa"/>
            <w:vAlign w:val="bottom"/>
          </w:tcPr>
          <w:p w:rsidR="007A055C" w:rsidRPr="007528C9" w:rsidRDefault="007A055C" w:rsidP="007528C9">
            <w:pPr>
              <w:pStyle w:val="TableText"/>
              <w:keepNext w:val="0"/>
              <w:jc w:val="center"/>
              <w:rPr>
                <w:noProof/>
                <w:lang w:val="fr-FR"/>
              </w:rPr>
            </w:pPr>
            <w:r w:rsidRPr="007528C9">
              <w:rPr>
                <w:noProof/>
                <w:lang w:val="fr-FR"/>
              </w:rPr>
              <w:t>14</w:t>
            </w:r>
          </w:p>
        </w:tc>
        <w:tc>
          <w:tcPr>
            <w:tcW w:w="2811" w:type="dxa"/>
            <w:vAlign w:val="bottom"/>
          </w:tcPr>
          <w:p w:rsidR="007A055C" w:rsidRPr="007528C9" w:rsidRDefault="007A055C" w:rsidP="007528C9">
            <w:pPr>
              <w:pStyle w:val="TableText"/>
              <w:keepNext w:val="0"/>
              <w:jc w:val="center"/>
              <w:rPr>
                <w:rStyle w:val="AnswerGray"/>
                <w:noProof/>
                <w:lang w:val="fr-FR"/>
              </w:rPr>
            </w:pPr>
          </w:p>
        </w:tc>
      </w:tr>
      <w:tr w:rsidR="007A055C" w:rsidRPr="007528C9" w:rsidTr="00106083">
        <w:trPr>
          <w:cantSplit/>
          <w:jc w:val="center"/>
        </w:trPr>
        <w:tc>
          <w:tcPr>
            <w:tcW w:w="3182" w:type="dxa"/>
            <w:vAlign w:val="bottom"/>
          </w:tcPr>
          <w:p w:rsidR="007A055C" w:rsidRPr="007528C9" w:rsidRDefault="007A055C" w:rsidP="007528C9">
            <w:pPr>
              <w:pStyle w:val="TableText"/>
              <w:keepNext w:val="0"/>
              <w:jc w:val="center"/>
              <w:rPr>
                <w:noProof/>
                <w:lang w:val="fr-FR"/>
              </w:rPr>
            </w:pPr>
            <w:r w:rsidRPr="007528C9">
              <w:rPr>
                <w:noProof/>
                <w:lang w:val="fr-FR"/>
              </w:rPr>
              <w:t>24</w:t>
            </w:r>
          </w:p>
        </w:tc>
        <w:tc>
          <w:tcPr>
            <w:tcW w:w="2811" w:type="dxa"/>
            <w:vAlign w:val="bottom"/>
          </w:tcPr>
          <w:p w:rsidR="007A055C" w:rsidRPr="007528C9" w:rsidRDefault="007A055C" w:rsidP="007528C9">
            <w:pPr>
              <w:pStyle w:val="TableText"/>
              <w:keepNext w:val="0"/>
              <w:jc w:val="center"/>
              <w:rPr>
                <w:rStyle w:val="AnswerGray"/>
                <w:noProof/>
                <w:lang w:val="fr-FR"/>
              </w:rPr>
            </w:pPr>
          </w:p>
        </w:tc>
      </w:tr>
      <w:tr w:rsidR="007A055C" w:rsidRPr="007528C9" w:rsidTr="00106083">
        <w:trPr>
          <w:cantSplit/>
          <w:jc w:val="center"/>
        </w:trPr>
        <w:tc>
          <w:tcPr>
            <w:tcW w:w="3182" w:type="dxa"/>
            <w:vAlign w:val="bottom"/>
          </w:tcPr>
          <w:p w:rsidR="007A055C" w:rsidRPr="007528C9" w:rsidRDefault="007A055C" w:rsidP="007528C9">
            <w:pPr>
              <w:pStyle w:val="TableText"/>
              <w:keepNext w:val="0"/>
              <w:jc w:val="center"/>
              <w:rPr>
                <w:noProof/>
                <w:lang w:val="fr-FR"/>
              </w:rPr>
            </w:pPr>
            <w:r w:rsidRPr="007528C9">
              <w:rPr>
                <w:noProof/>
                <w:lang w:val="fr-FR"/>
              </w:rPr>
              <w:t>10</w:t>
            </w:r>
          </w:p>
        </w:tc>
        <w:tc>
          <w:tcPr>
            <w:tcW w:w="2811" w:type="dxa"/>
            <w:vAlign w:val="bottom"/>
          </w:tcPr>
          <w:p w:rsidR="007A055C" w:rsidRPr="007528C9" w:rsidRDefault="007A055C" w:rsidP="007528C9">
            <w:pPr>
              <w:pStyle w:val="TableText"/>
              <w:keepNext w:val="0"/>
              <w:jc w:val="center"/>
              <w:rPr>
                <w:rStyle w:val="AnswerGray"/>
                <w:noProof/>
                <w:lang w:val="fr-FR"/>
              </w:rPr>
            </w:pPr>
          </w:p>
        </w:tc>
      </w:tr>
    </w:tbl>
    <w:p w:rsidR="007A055C" w:rsidRPr="007528C9" w:rsidRDefault="00284D9F" w:rsidP="001C795A">
      <w:pPr>
        <w:pStyle w:val="SubStepAlpha"/>
        <w:rPr>
          <w:noProof/>
          <w:lang w:val="fr-FR"/>
        </w:rPr>
      </w:pPr>
      <w:r w:rsidRPr="007528C9">
        <w:rPr>
          <w:noProof/>
          <w:lang w:val="fr-FR"/>
        </w:rPr>
        <w:lastRenderedPageBreak/>
        <w:t>Pour un masque de sous-réseau donné, déterminez le nombre d</w:t>
      </w:r>
      <w:r w:rsidR="00853098" w:rsidRPr="007528C9">
        <w:rPr>
          <w:noProof/>
          <w:lang w:val="fr-FR"/>
        </w:rPr>
        <w:t>’</w:t>
      </w:r>
      <w:r w:rsidRPr="007528C9">
        <w:rPr>
          <w:noProof/>
          <w:lang w:val="fr-FR"/>
        </w:rPr>
        <w:t>hôtes disponibles et consignez la réponse dans le tableau suivant.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783"/>
        <w:gridCol w:w="4431"/>
        <w:gridCol w:w="1442"/>
        <w:gridCol w:w="1440"/>
      </w:tblGrid>
      <w:tr w:rsidR="0098189F" w:rsidRPr="007528C9" w:rsidTr="00106083">
        <w:trPr>
          <w:cantSplit/>
          <w:jc w:val="center"/>
        </w:trPr>
        <w:tc>
          <w:tcPr>
            <w:tcW w:w="178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98189F" w:rsidRPr="007528C9" w:rsidRDefault="0098189F" w:rsidP="00106083">
            <w:pPr>
              <w:pStyle w:val="TableHeading"/>
              <w:rPr>
                <w:noProof/>
                <w:lang w:val="fr-FR"/>
              </w:rPr>
            </w:pPr>
            <w:r w:rsidRPr="007528C9">
              <w:rPr>
                <w:noProof/>
                <w:lang w:val="fr-FR"/>
              </w:rPr>
              <w:t>Masque de sous-réseau</w:t>
            </w:r>
          </w:p>
        </w:tc>
        <w:tc>
          <w:tcPr>
            <w:tcW w:w="443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98189F" w:rsidRPr="007528C9" w:rsidRDefault="0098189F" w:rsidP="00106083">
            <w:pPr>
              <w:pStyle w:val="TableHeading"/>
              <w:rPr>
                <w:noProof/>
                <w:lang w:val="fr-FR"/>
              </w:rPr>
            </w:pPr>
            <w:r w:rsidRPr="007528C9">
              <w:rPr>
                <w:noProof/>
                <w:lang w:val="fr-FR"/>
              </w:rPr>
              <w:t>Masque de sous-réseau binaire</w:t>
            </w:r>
          </w:p>
        </w:tc>
        <w:tc>
          <w:tcPr>
            <w:tcW w:w="144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98189F" w:rsidRPr="007528C9" w:rsidRDefault="0098189F" w:rsidP="00106083">
            <w:pPr>
              <w:pStyle w:val="TableHeading"/>
              <w:rPr>
                <w:noProof/>
                <w:lang w:val="fr-FR"/>
              </w:rPr>
            </w:pPr>
            <w:r w:rsidRPr="007528C9">
              <w:rPr>
                <w:noProof/>
                <w:lang w:val="fr-FR"/>
              </w:rPr>
              <w:t>Nombre de bits d</w:t>
            </w:r>
            <w:r w:rsidR="00853098" w:rsidRPr="007528C9">
              <w:rPr>
                <w:noProof/>
                <w:lang w:val="fr-FR"/>
              </w:rPr>
              <w:t>’</w:t>
            </w:r>
            <w:r w:rsidRPr="007528C9">
              <w:rPr>
                <w:noProof/>
                <w:lang w:val="fr-FR"/>
              </w:rPr>
              <w:t>hôtes disponibles</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98189F" w:rsidRPr="007528C9" w:rsidRDefault="0098189F" w:rsidP="00106083">
            <w:pPr>
              <w:pStyle w:val="TableHeading"/>
              <w:rPr>
                <w:noProof/>
                <w:lang w:val="fr-FR"/>
              </w:rPr>
            </w:pPr>
            <w:r w:rsidRPr="007528C9">
              <w:rPr>
                <w:noProof/>
                <w:lang w:val="fr-FR"/>
              </w:rPr>
              <w:t>Nombre d</w:t>
            </w:r>
            <w:r w:rsidR="00853098" w:rsidRPr="007528C9">
              <w:rPr>
                <w:noProof/>
                <w:lang w:val="fr-FR"/>
              </w:rPr>
              <w:t>’</w:t>
            </w:r>
            <w:r w:rsidRPr="007528C9">
              <w:rPr>
                <w:noProof/>
                <w:lang w:val="fr-FR"/>
              </w:rPr>
              <w:t>hôtes disponibles</w:t>
            </w:r>
          </w:p>
        </w:tc>
      </w:tr>
      <w:tr w:rsidR="0098189F" w:rsidRPr="007528C9" w:rsidTr="00106083">
        <w:trPr>
          <w:cantSplit/>
          <w:jc w:val="center"/>
        </w:trPr>
        <w:tc>
          <w:tcPr>
            <w:tcW w:w="1783" w:type="dxa"/>
            <w:vAlign w:val="bottom"/>
          </w:tcPr>
          <w:p w:rsidR="0098189F" w:rsidRPr="007528C9" w:rsidRDefault="0098189F" w:rsidP="00106083">
            <w:pPr>
              <w:pStyle w:val="TableText"/>
              <w:rPr>
                <w:noProof/>
                <w:lang w:val="fr-FR"/>
              </w:rPr>
            </w:pPr>
            <w:r w:rsidRPr="007528C9">
              <w:rPr>
                <w:noProof/>
                <w:lang w:val="fr-FR"/>
              </w:rPr>
              <w:t>255.255.255.0</w:t>
            </w:r>
          </w:p>
        </w:tc>
        <w:tc>
          <w:tcPr>
            <w:tcW w:w="4431" w:type="dxa"/>
            <w:vAlign w:val="bottom"/>
          </w:tcPr>
          <w:p w:rsidR="0098189F" w:rsidRPr="007528C9" w:rsidRDefault="0098189F" w:rsidP="00C41168">
            <w:pPr>
              <w:pStyle w:val="TableText"/>
              <w:rPr>
                <w:noProof/>
                <w:lang w:val="fr-FR"/>
              </w:rPr>
            </w:pPr>
            <w:r w:rsidRPr="007528C9">
              <w:rPr>
                <w:noProof/>
                <w:lang w:val="fr-FR"/>
              </w:rPr>
              <w:t>11111111.11111111.11111111.00000000</w:t>
            </w:r>
          </w:p>
        </w:tc>
        <w:tc>
          <w:tcPr>
            <w:tcW w:w="1442" w:type="dxa"/>
            <w:vAlign w:val="bottom"/>
          </w:tcPr>
          <w:p w:rsidR="0098189F" w:rsidRPr="007528C9" w:rsidRDefault="0098189F" w:rsidP="00106083">
            <w:pPr>
              <w:pStyle w:val="TableText"/>
              <w:jc w:val="center"/>
              <w:rPr>
                <w:rStyle w:val="AnswerGray"/>
                <w:noProof/>
                <w:lang w:val="fr-FR"/>
              </w:rPr>
            </w:pPr>
          </w:p>
        </w:tc>
        <w:tc>
          <w:tcPr>
            <w:tcW w:w="1440" w:type="dxa"/>
            <w:vAlign w:val="bottom"/>
          </w:tcPr>
          <w:p w:rsidR="0098189F" w:rsidRPr="007528C9" w:rsidRDefault="0098189F" w:rsidP="00106083">
            <w:pPr>
              <w:pStyle w:val="TableText"/>
              <w:jc w:val="center"/>
              <w:rPr>
                <w:rStyle w:val="AnswerGray"/>
                <w:noProof/>
                <w:lang w:val="fr-FR"/>
              </w:rPr>
            </w:pPr>
          </w:p>
        </w:tc>
      </w:tr>
      <w:tr w:rsidR="0098189F" w:rsidRPr="007528C9" w:rsidTr="00106083">
        <w:trPr>
          <w:cantSplit/>
          <w:jc w:val="center"/>
        </w:trPr>
        <w:tc>
          <w:tcPr>
            <w:tcW w:w="1783" w:type="dxa"/>
            <w:vAlign w:val="bottom"/>
          </w:tcPr>
          <w:p w:rsidR="0098189F" w:rsidRPr="007528C9" w:rsidRDefault="0098189F" w:rsidP="00106083">
            <w:pPr>
              <w:pStyle w:val="TableText"/>
              <w:rPr>
                <w:noProof/>
                <w:lang w:val="fr-FR"/>
              </w:rPr>
            </w:pPr>
            <w:r w:rsidRPr="007528C9">
              <w:rPr>
                <w:noProof/>
                <w:lang w:val="fr-FR"/>
              </w:rPr>
              <w:t>255.255.240.0</w:t>
            </w:r>
          </w:p>
        </w:tc>
        <w:tc>
          <w:tcPr>
            <w:tcW w:w="4431" w:type="dxa"/>
            <w:vAlign w:val="bottom"/>
          </w:tcPr>
          <w:p w:rsidR="0098189F" w:rsidRPr="007528C9" w:rsidRDefault="0098189F" w:rsidP="00C41168">
            <w:pPr>
              <w:pStyle w:val="TableText"/>
              <w:rPr>
                <w:noProof/>
                <w:lang w:val="fr-FR"/>
              </w:rPr>
            </w:pPr>
            <w:r w:rsidRPr="007528C9">
              <w:rPr>
                <w:noProof/>
                <w:lang w:val="fr-FR"/>
              </w:rPr>
              <w:t>11111111.11111111.11110000.00000000</w:t>
            </w:r>
          </w:p>
        </w:tc>
        <w:tc>
          <w:tcPr>
            <w:tcW w:w="1442" w:type="dxa"/>
            <w:vAlign w:val="bottom"/>
          </w:tcPr>
          <w:p w:rsidR="0098189F" w:rsidRPr="007528C9" w:rsidRDefault="0098189F" w:rsidP="00106083">
            <w:pPr>
              <w:pStyle w:val="TableText"/>
              <w:jc w:val="center"/>
              <w:rPr>
                <w:rStyle w:val="AnswerGray"/>
                <w:noProof/>
                <w:lang w:val="fr-FR"/>
              </w:rPr>
            </w:pPr>
          </w:p>
        </w:tc>
        <w:tc>
          <w:tcPr>
            <w:tcW w:w="1440" w:type="dxa"/>
            <w:vAlign w:val="bottom"/>
          </w:tcPr>
          <w:p w:rsidR="0098189F" w:rsidRPr="007528C9" w:rsidRDefault="0098189F" w:rsidP="00106083">
            <w:pPr>
              <w:pStyle w:val="TableText"/>
              <w:jc w:val="center"/>
              <w:rPr>
                <w:rStyle w:val="AnswerGray"/>
                <w:noProof/>
                <w:lang w:val="fr-FR"/>
              </w:rPr>
            </w:pPr>
          </w:p>
        </w:tc>
      </w:tr>
      <w:tr w:rsidR="0098189F" w:rsidRPr="007528C9" w:rsidTr="00106083">
        <w:trPr>
          <w:cantSplit/>
          <w:jc w:val="center"/>
        </w:trPr>
        <w:tc>
          <w:tcPr>
            <w:tcW w:w="1783" w:type="dxa"/>
            <w:vAlign w:val="bottom"/>
          </w:tcPr>
          <w:p w:rsidR="0098189F" w:rsidRPr="007528C9" w:rsidRDefault="0098189F" w:rsidP="00106083">
            <w:pPr>
              <w:pStyle w:val="TableText"/>
              <w:rPr>
                <w:noProof/>
                <w:lang w:val="fr-FR"/>
              </w:rPr>
            </w:pPr>
            <w:r w:rsidRPr="007528C9">
              <w:rPr>
                <w:noProof/>
                <w:lang w:val="fr-FR"/>
              </w:rPr>
              <w:t>255.255.255.128</w:t>
            </w:r>
          </w:p>
        </w:tc>
        <w:tc>
          <w:tcPr>
            <w:tcW w:w="4431" w:type="dxa"/>
            <w:vAlign w:val="bottom"/>
          </w:tcPr>
          <w:p w:rsidR="0098189F" w:rsidRPr="007528C9" w:rsidRDefault="0098189F" w:rsidP="00C41168">
            <w:pPr>
              <w:pStyle w:val="TableText"/>
              <w:rPr>
                <w:noProof/>
                <w:lang w:val="fr-FR"/>
              </w:rPr>
            </w:pPr>
            <w:r w:rsidRPr="007528C9">
              <w:rPr>
                <w:noProof/>
                <w:lang w:val="fr-FR"/>
              </w:rPr>
              <w:t>11111111.11111111.11111111.10000000</w:t>
            </w:r>
          </w:p>
        </w:tc>
        <w:tc>
          <w:tcPr>
            <w:tcW w:w="1442" w:type="dxa"/>
            <w:vAlign w:val="bottom"/>
          </w:tcPr>
          <w:p w:rsidR="0098189F" w:rsidRPr="007528C9" w:rsidRDefault="0098189F" w:rsidP="00106083">
            <w:pPr>
              <w:pStyle w:val="TableText"/>
              <w:jc w:val="center"/>
              <w:rPr>
                <w:rStyle w:val="AnswerGray"/>
                <w:noProof/>
                <w:lang w:val="fr-FR"/>
              </w:rPr>
            </w:pPr>
          </w:p>
        </w:tc>
        <w:tc>
          <w:tcPr>
            <w:tcW w:w="1440" w:type="dxa"/>
            <w:vAlign w:val="bottom"/>
          </w:tcPr>
          <w:p w:rsidR="0098189F" w:rsidRPr="007528C9" w:rsidRDefault="0098189F" w:rsidP="00106083">
            <w:pPr>
              <w:pStyle w:val="TableText"/>
              <w:jc w:val="center"/>
              <w:rPr>
                <w:rStyle w:val="AnswerGray"/>
                <w:noProof/>
                <w:lang w:val="fr-FR"/>
              </w:rPr>
            </w:pPr>
          </w:p>
        </w:tc>
      </w:tr>
      <w:tr w:rsidR="0098189F" w:rsidRPr="007528C9" w:rsidTr="00106083">
        <w:trPr>
          <w:cantSplit/>
          <w:jc w:val="center"/>
        </w:trPr>
        <w:tc>
          <w:tcPr>
            <w:tcW w:w="1783" w:type="dxa"/>
            <w:vAlign w:val="bottom"/>
          </w:tcPr>
          <w:p w:rsidR="0098189F" w:rsidRPr="007528C9" w:rsidRDefault="0098189F" w:rsidP="00106083">
            <w:pPr>
              <w:pStyle w:val="TableText"/>
              <w:rPr>
                <w:noProof/>
                <w:lang w:val="fr-FR"/>
              </w:rPr>
            </w:pPr>
            <w:r w:rsidRPr="007528C9">
              <w:rPr>
                <w:noProof/>
                <w:lang w:val="fr-FR"/>
              </w:rPr>
              <w:t>255.255.255.252</w:t>
            </w:r>
          </w:p>
        </w:tc>
        <w:tc>
          <w:tcPr>
            <w:tcW w:w="4431" w:type="dxa"/>
            <w:vAlign w:val="bottom"/>
          </w:tcPr>
          <w:p w:rsidR="0098189F" w:rsidRPr="007528C9" w:rsidRDefault="0098189F" w:rsidP="00C41168">
            <w:pPr>
              <w:pStyle w:val="TableText"/>
              <w:rPr>
                <w:noProof/>
                <w:lang w:val="fr-FR"/>
              </w:rPr>
            </w:pPr>
            <w:r w:rsidRPr="007528C9">
              <w:rPr>
                <w:noProof/>
                <w:lang w:val="fr-FR"/>
              </w:rPr>
              <w:t>11111111.11111111.11111111.11111100</w:t>
            </w:r>
          </w:p>
        </w:tc>
        <w:tc>
          <w:tcPr>
            <w:tcW w:w="1442" w:type="dxa"/>
            <w:vAlign w:val="bottom"/>
          </w:tcPr>
          <w:p w:rsidR="0098189F" w:rsidRPr="007528C9" w:rsidRDefault="0098189F" w:rsidP="00106083">
            <w:pPr>
              <w:pStyle w:val="TableText"/>
              <w:jc w:val="center"/>
              <w:rPr>
                <w:rStyle w:val="AnswerGray"/>
                <w:noProof/>
                <w:lang w:val="fr-FR"/>
              </w:rPr>
            </w:pPr>
          </w:p>
        </w:tc>
        <w:tc>
          <w:tcPr>
            <w:tcW w:w="1440" w:type="dxa"/>
            <w:vAlign w:val="bottom"/>
          </w:tcPr>
          <w:p w:rsidR="0098189F" w:rsidRPr="007528C9" w:rsidRDefault="0098189F" w:rsidP="00106083">
            <w:pPr>
              <w:pStyle w:val="TableText"/>
              <w:jc w:val="center"/>
              <w:rPr>
                <w:rStyle w:val="AnswerGray"/>
                <w:noProof/>
                <w:lang w:val="fr-FR"/>
              </w:rPr>
            </w:pPr>
          </w:p>
        </w:tc>
      </w:tr>
      <w:tr w:rsidR="0098189F" w:rsidRPr="007528C9" w:rsidTr="00106083">
        <w:trPr>
          <w:cantSplit/>
          <w:jc w:val="center"/>
        </w:trPr>
        <w:tc>
          <w:tcPr>
            <w:tcW w:w="1783" w:type="dxa"/>
            <w:vAlign w:val="bottom"/>
          </w:tcPr>
          <w:p w:rsidR="0098189F" w:rsidRPr="007528C9" w:rsidRDefault="0098189F" w:rsidP="00106083">
            <w:pPr>
              <w:pStyle w:val="TableText"/>
              <w:rPr>
                <w:noProof/>
                <w:lang w:val="fr-FR"/>
              </w:rPr>
            </w:pPr>
            <w:r w:rsidRPr="007528C9">
              <w:rPr>
                <w:noProof/>
                <w:lang w:val="fr-FR"/>
              </w:rPr>
              <w:t>255.255.0.0</w:t>
            </w:r>
          </w:p>
        </w:tc>
        <w:tc>
          <w:tcPr>
            <w:tcW w:w="4431" w:type="dxa"/>
            <w:vAlign w:val="bottom"/>
          </w:tcPr>
          <w:p w:rsidR="0098189F" w:rsidRPr="007528C9" w:rsidRDefault="0098189F" w:rsidP="00C41168">
            <w:pPr>
              <w:pStyle w:val="TableText"/>
              <w:rPr>
                <w:noProof/>
                <w:lang w:val="fr-FR"/>
              </w:rPr>
            </w:pPr>
            <w:r w:rsidRPr="007528C9">
              <w:rPr>
                <w:noProof/>
                <w:lang w:val="fr-FR"/>
              </w:rPr>
              <w:t>11111111.11111111.00000000.00000000</w:t>
            </w:r>
          </w:p>
        </w:tc>
        <w:tc>
          <w:tcPr>
            <w:tcW w:w="1442" w:type="dxa"/>
            <w:vAlign w:val="bottom"/>
          </w:tcPr>
          <w:p w:rsidR="0098189F" w:rsidRPr="007528C9" w:rsidRDefault="0098189F" w:rsidP="00106083">
            <w:pPr>
              <w:pStyle w:val="TableText"/>
              <w:jc w:val="center"/>
              <w:rPr>
                <w:rStyle w:val="AnswerGray"/>
                <w:noProof/>
                <w:lang w:val="fr-FR"/>
              </w:rPr>
            </w:pPr>
          </w:p>
        </w:tc>
        <w:tc>
          <w:tcPr>
            <w:tcW w:w="1440" w:type="dxa"/>
            <w:vAlign w:val="bottom"/>
          </w:tcPr>
          <w:p w:rsidR="0098189F" w:rsidRPr="007528C9" w:rsidRDefault="0098189F" w:rsidP="00106083">
            <w:pPr>
              <w:pStyle w:val="TableText"/>
              <w:jc w:val="center"/>
              <w:rPr>
                <w:rStyle w:val="AnswerGray"/>
                <w:noProof/>
                <w:lang w:val="fr-FR"/>
              </w:rPr>
            </w:pPr>
          </w:p>
        </w:tc>
      </w:tr>
    </w:tbl>
    <w:p w:rsidR="007152A1" w:rsidRPr="007528C9" w:rsidRDefault="00E24500" w:rsidP="00E24500">
      <w:pPr>
        <w:pStyle w:val="PartHead"/>
        <w:numPr>
          <w:ilvl w:val="0"/>
          <w:numId w:val="0"/>
        </w:numPr>
        <w:rPr>
          <w:noProof/>
          <w:lang w:val="fr-FR"/>
        </w:rPr>
      </w:pPr>
      <w:r w:rsidRPr="007528C9">
        <w:rPr>
          <w:noProof/>
          <w:lang w:val="fr-FR" w:eastAsia="zh-CN"/>
        </w:rPr>
        <w:t>5</w:t>
      </w:r>
      <w:r w:rsidRPr="007528C9">
        <w:rPr>
          <w:noProof/>
          <w:lang w:val="fr-FR"/>
        </w:rPr>
        <w:t xml:space="preserve">e partie : </w:t>
      </w:r>
      <w:r w:rsidR="00410BB1" w:rsidRPr="007528C9">
        <w:rPr>
          <w:noProof/>
          <w:lang w:val="fr-FR"/>
        </w:rPr>
        <w:t>Convertir des adresses MAC et des adressesIPv6 en binaire</w:t>
      </w:r>
    </w:p>
    <w:p w:rsidR="00067A1F" w:rsidRPr="007528C9" w:rsidRDefault="00621434" w:rsidP="00067A1F">
      <w:pPr>
        <w:pStyle w:val="BodyTextL25"/>
        <w:rPr>
          <w:noProof/>
          <w:lang w:val="fr-FR"/>
        </w:rPr>
      </w:pPr>
      <w:r w:rsidRPr="007528C9">
        <w:rPr>
          <w:noProof/>
          <w:lang w:val="fr-FR"/>
        </w:rPr>
        <w:t>Les adresses MAC (Media Access Control) et IPv6 (Internet Protocol version 6) sont toutes deux représentées sous forme de chiffres hexadécimaux pour améliorer leur lisibilité. Cependant, les ordinateurs ne comprennent que les chiffres binaires et utilisent ces chiffres binaires pour les calculs. Dans cette partie, vous convertirez ces adresses hexadécimales en adresses binaires.</w:t>
      </w:r>
    </w:p>
    <w:p w:rsidR="00067A1F" w:rsidRPr="007528C9" w:rsidRDefault="00067A1F" w:rsidP="00E24500">
      <w:pPr>
        <w:pStyle w:val="StepHead"/>
        <w:numPr>
          <w:ilvl w:val="0"/>
          <w:numId w:val="13"/>
        </w:numPr>
        <w:rPr>
          <w:noProof/>
          <w:lang w:val="fr-FR"/>
        </w:rPr>
      </w:pPr>
      <w:r w:rsidRPr="007528C9">
        <w:rPr>
          <w:noProof/>
          <w:lang w:val="fr-FR"/>
        </w:rPr>
        <w:t>Convertissez les adresses MAC en leur équivalent binaire.</w:t>
      </w:r>
    </w:p>
    <w:p w:rsidR="00067A1F" w:rsidRPr="007528C9" w:rsidRDefault="00067A1F" w:rsidP="00E24500">
      <w:pPr>
        <w:pStyle w:val="SubStepAlpha"/>
        <w:numPr>
          <w:ilvl w:val="2"/>
          <w:numId w:val="10"/>
        </w:numPr>
        <w:rPr>
          <w:noProof/>
          <w:lang w:val="fr-FR"/>
        </w:rPr>
      </w:pPr>
      <w:r w:rsidRPr="007528C9">
        <w:rPr>
          <w:noProof/>
          <w:lang w:val="fr-FR"/>
        </w:rPr>
        <w:t>L</w:t>
      </w:r>
      <w:r w:rsidR="00853098" w:rsidRPr="007528C9">
        <w:rPr>
          <w:noProof/>
          <w:lang w:val="fr-FR"/>
        </w:rPr>
        <w:t>’</w:t>
      </w:r>
      <w:r w:rsidRPr="007528C9">
        <w:rPr>
          <w:noProof/>
          <w:lang w:val="fr-FR"/>
        </w:rPr>
        <w:t>adresse MAC ou adresse physique est généralement représentée par 12 caractères hexadécimaux groupés en paires et séparés par des traits d</w:t>
      </w:r>
      <w:r w:rsidR="00853098" w:rsidRPr="007528C9">
        <w:rPr>
          <w:noProof/>
          <w:lang w:val="fr-FR"/>
        </w:rPr>
        <w:t>’</w:t>
      </w:r>
      <w:r w:rsidRPr="007528C9">
        <w:rPr>
          <w:noProof/>
          <w:lang w:val="fr-FR"/>
        </w:rPr>
        <w:t>union (-). Les adresses physiques sur un ordinateur Windows sont affichées dans le format xx-xx-xx-xx-xx-xx, où chaque x correspond à un nombre compris entre 0 et 9 ou une lettre de A à F. Chacun des caractères hexadécimaux de l</w:t>
      </w:r>
      <w:r w:rsidR="00853098" w:rsidRPr="007528C9">
        <w:rPr>
          <w:noProof/>
          <w:lang w:val="fr-FR"/>
        </w:rPr>
        <w:t>’</w:t>
      </w:r>
      <w:r w:rsidRPr="007528C9">
        <w:rPr>
          <w:noProof/>
          <w:lang w:val="fr-FR"/>
        </w:rPr>
        <w:t>adresse peut être converti en 4 bits binaires, qui est ce que l</w:t>
      </w:r>
      <w:r w:rsidR="00853098" w:rsidRPr="007528C9">
        <w:rPr>
          <w:noProof/>
          <w:lang w:val="fr-FR"/>
        </w:rPr>
        <w:t>’</w:t>
      </w:r>
      <w:r w:rsidRPr="007528C9">
        <w:rPr>
          <w:noProof/>
          <w:lang w:val="fr-FR"/>
        </w:rPr>
        <w:t>ordinateur comprend. Si les 12 caractères hexadécimaux ont été convertis en nombres binaires, combien de bits devez-vous avoir ?</w:t>
      </w:r>
    </w:p>
    <w:p w:rsidR="00067A1F" w:rsidRPr="007528C9" w:rsidRDefault="00067A1F" w:rsidP="00067A1F">
      <w:pPr>
        <w:pStyle w:val="BodyTextL50"/>
        <w:rPr>
          <w:noProof/>
          <w:lang w:val="fr-FR"/>
        </w:rPr>
      </w:pPr>
      <w:r w:rsidRPr="007528C9">
        <w:rPr>
          <w:noProof/>
          <w:lang w:val="fr-FR"/>
        </w:rPr>
        <w:t>____________________________________________________________________________________</w:t>
      </w:r>
    </w:p>
    <w:p w:rsidR="00067A1F" w:rsidRPr="007528C9" w:rsidRDefault="00067A1F" w:rsidP="00067A1F">
      <w:pPr>
        <w:pStyle w:val="SubStepAlpha"/>
        <w:rPr>
          <w:noProof/>
          <w:lang w:val="fr-FR"/>
        </w:rPr>
      </w:pPr>
      <w:r w:rsidRPr="007528C9">
        <w:rPr>
          <w:noProof/>
          <w:lang w:val="fr-FR"/>
        </w:rPr>
        <w:t>Consignez l</w:t>
      </w:r>
      <w:r w:rsidR="00853098" w:rsidRPr="007528C9">
        <w:rPr>
          <w:noProof/>
          <w:lang w:val="fr-FR"/>
        </w:rPr>
        <w:t>’</w:t>
      </w:r>
      <w:r w:rsidRPr="007528C9">
        <w:rPr>
          <w:noProof/>
          <w:lang w:val="fr-FR"/>
        </w:rPr>
        <w:t>adresse MAC pour votre PC.</w:t>
      </w:r>
    </w:p>
    <w:p w:rsidR="00067A1F" w:rsidRPr="007528C9" w:rsidRDefault="00067A1F" w:rsidP="00067A1F">
      <w:pPr>
        <w:pStyle w:val="BodyTextL50"/>
        <w:rPr>
          <w:noProof/>
          <w:lang w:val="fr-FR"/>
        </w:rPr>
      </w:pPr>
      <w:r w:rsidRPr="007528C9">
        <w:rPr>
          <w:noProof/>
          <w:lang w:val="fr-FR"/>
        </w:rPr>
        <w:t>____________________________________________________________________________________</w:t>
      </w:r>
    </w:p>
    <w:p w:rsidR="00067A1F" w:rsidRPr="007528C9" w:rsidRDefault="00067A1F" w:rsidP="00067A1F">
      <w:pPr>
        <w:pStyle w:val="SubStepAlpha"/>
        <w:rPr>
          <w:noProof/>
          <w:lang w:val="fr-FR"/>
        </w:rPr>
      </w:pPr>
      <w:r w:rsidRPr="007528C9">
        <w:rPr>
          <w:noProof/>
          <w:lang w:val="fr-FR"/>
        </w:rPr>
        <w:t>Convertissez l</w:t>
      </w:r>
      <w:r w:rsidR="00853098" w:rsidRPr="007528C9">
        <w:rPr>
          <w:noProof/>
          <w:lang w:val="fr-FR"/>
        </w:rPr>
        <w:t>’</w:t>
      </w:r>
      <w:r w:rsidRPr="007528C9">
        <w:rPr>
          <w:noProof/>
          <w:lang w:val="fr-FR"/>
        </w:rPr>
        <w:t>adresse MAC en chiffres binaires à l</w:t>
      </w:r>
      <w:r w:rsidR="00853098" w:rsidRPr="007528C9">
        <w:rPr>
          <w:noProof/>
          <w:lang w:val="fr-FR"/>
        </w:rPr>
        <w:t>’</w:t>
      </w:r>
      <w:r w:rsidRPr="007528C9">
        <w:rPr>
          <w:noProof/>
          <w:lang w:val="fr-FR"/>
        </w:rPr>
        <w:t>aide de la calculatrice Windows.</w:t>
      </w:r>
    </w:p>
    <w:p w:rsidR="00067A1F" w:rsidRPr="007528C9" w:rsidRDefault="00067A1F" w:rsidP="00067A1F">
      <w:pPr>
        <w:pStyle w:val="BodyTextL50"/>
        <w:rPr>
          <w:noProof/>
          <w:lang w:val="fr-FR"/>
        </w:rPr>
      </w:pPr>
      <w:r w:rsidRPr="007528C9">
        <w:rPr>
          <w:noProof/>
          <w:lang w:val="fr-FR"/>
        </w:rPr>
        <w:t>____________________________________________________________________________________</w:t>
      </w:r>
    </w:p>
    <w:p w:rsidR="002803A1" w:rsidRPr="007528C9" w:rsidRDefault="002803A1" w:rsidP="00041EE0">
      <w:pPr>
        <w:pStyle w:val="StepHead"/>
        <w:rPr>
          <w:noProof/>
          <w:lang w:val="fr-FR"/>
        </w:rPr>
      </w:pPr>
      <w:r w:rsidRPr="007528C9">
        <w:rPr>
          <w:noProof/>
          <w:lang w:val="fr-FR"/>
        </w:rPr>
        <w:t>Convertissez une adresse IPv6 en chiffres binaires.</w:t>
      </w:r>
    </w:p>
    <w:p w:rsidR="00624FE9" w:rsidRPr="007528C9" w:rsidRDefault="00624FE9" w:rsidP="00624FE9">
      <w:pPr>
        <w:pStyle w:val="BodyTextL25"/>
        <w:rPr>
          <w:noProof/>
          <w:lang w:val="fr-FR"/>
        </w:rPr>
      </w:pPr>
      <w:r w:rsidRPr="007528C9">
        <w:rPr>
          <w:noProof/>
          <w:lang w:val="fr-FR"/>
        </w:rPr>
        <w:t>Les adresses IPv6 sont également écrites sous forme de caractères hexadécimaux pour faciliter leur lisibilité par les humains. Ces adresses IPv6 peuvent être converties en nombres binaires pour pouvoir être utilisées par un ordinateur.</w:t>
      </w:r>
    </w:p>
    <w:p w:rsidR="00EB48C8" w:rsidRPr="007528C9" w:rsidRDefault="00EB48C8" w:rsidP="00E24500">
      <w:pPr>
        <w:pStyle w:val="SubStepAlpha"/>
        <w:numPr>
          <w:ilvl w:val="2"/>
          <w:numId w:val="14"/>
        </w:numPr>
        <w:rPr>
          <w:noProof/>
          <w:lang w:val="fr-FR"/>
        </w:rPr>
      </w:pPr>
      <w:r w:rsidRPr="007528C9">
        <w:rPr>
          <w:noProof/>
          <w:lang w:val="fr-FR"/>
        </w:rPr>
        <w:t>Les adresses IPv6 sont des nombres binaires exprimés en notation lisible pour les humains : 2001:0DB8:ACAD:0001:0000:0000:0000:0001 ou dans un format plus court : 2001:DB8:ACAD:1::1.</w:t>
      </w:r>
    </w:p>
    <w:p w:rsidR="00EB48C8" w:rsidRPr="007528C9" w:rsidRDefault="00C41168" w:rsidP="00EB48C8">
      <w:pPr>
        <w:pStyle w:val="SubStepAlpha"/>
        <w:rPr>
          <w:noProof/>
          <w:lang w:val="fr-FR"/>
        </w:rPr>
      </w:pPr>
      <w:r w:rsidRPr="007528C9">
        <w:rPr>
          <w:noProof/>
          <w:lang w:val="fr-FR"/>
        </w:rPr>
        <w:t>Une adresse IPv6 se compose de 128 bits. À l</w:t>
      </w:r>
      <w:r w:rsidR="00853098" w:rsidRPr="007528C9">
        <w:rPr>
          <w:noProof/>
          <w:lang w:val="fr-FR"/>
        </w:rPr>
        <w:t>’</w:t>
      </w:r>
      <w:r w:rsidRPr="007528C9">
        <w:rPr>
          <w:noProof/>
          <w:lang w:val="fr-FR"/>
        </w:rPr>
        <w:t>aide de la calculatrice Windows, convertissez l</w:t>
      </w:r>
      <w:r w:rsidR="00853098" w:rsidRPr="007528C9">
        <w:rPr>
          <w:noProof/>
          <w:lang w:val="fr-FR"/>
        </w:rPr>
        <w:t>’</w:t>
      </w:r>
      <w:r w:rsidRPr="007528C9">
        <w:rPr>
          <w:noProof/>
          <w:lang w:val="fr-FR"/>
        </w:rPr>
        <w:t>exemple d</w:t>
      </w:r>
      <w:r w:rsidR="00853098" w:rsidRPr="007528C9">
        <w:rPr>
          <w:noProof/>
          <w:lang w:val="fr-FR"/>
        </w:rPr>
        <w:t>’</w:t>
      </w:r>
      <w:r w:rsidRPr="007528C9">
        <w:rPr>
          <w:noProof/>
          <w:lang w:val="fr-FR"/>
        </w:rPr>
        <w:t>adresse IPv6 en nombres binaires et notez-la dans la table ci-dessous.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2304"/>
        <w:gridCol w:w="3012"/>
      </w:tblGrid>
      <w:tr w:rsidR="00C11A35" w:rsidRPr="007528C9" w:rsidTr="00106083">
        <w:trPr>
          <w:cantSplit/>
          <w:jc w:val="center"/>
        </w:trPr>
        <w:tc>
          <w:tcPr>
            <w:tcW w:w="230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11A35" w:rsidRPr="007528C9" w:rsidRDefault="00C11A35" w:rsidP="00106083">
            <w:pPr>
              <w:pStyle w:val="TableHeading"/>
              <w:rPr>
                <w:noProof/>
                <w:lang w:val="fr-FR"/>
              </w:rPr>
            </w:pPr>
            <w:r w:rsidRPr="007528C9">
              <w:rPr>
                <w:noProof/>
                <w:lang w:val="fr-FR"/>
              </w:rPr>
              <w:lastRenderedPageBreak/>
              <w:t>Hexadécimal</w:t>
            </w:r>
          </w:p>
        </w:tc>
        <w:tc>
          <w:tcPr>
            <w:tcW w:w="301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11A35" w:rsidRPr="007528C9" w:rsidRDefault="00C11A35" w:rsidP="00106083">
            <w:pPr>
              <w:pStyle w:val="TableHeading"/>
              <w:rPr>
                <w:noProof/>
                <w:lang w:val="fr-FR"/>
              </w:rPr>
            </w:pPr>
            <w:r w:rsidRPr="007528C9">
              <w:rPr>
                <w:noProof/>
                <w:lang w:val="fr-FR"/>
              </w:rPr>
              <w:t>Binaire</w:t>
            </w:r>
          </w:p>
        </w:tc>
      </w:tr>
      <w:tr w:rsidR="00C11A35" w:rsidRPr="007528C9" w:rsidTr="00106083">
        <w:trPr>
          <w:cantSplit/>
          <w:jc w:val="center"/>
        </w:trPr>
        <w:tc>
          <w:tcPr>
            <w:tcW w:w="2304" w:type="dxa"/>
            <w:vAlign w:val="bottom"/>
          </w:tcPr>
          <w:p w:rsidR="00C11A35" w:rsidRPr="007528C9" w:rsidRDefault="00C11A35" w:rsidP="00106083">
            <w:pPr>
              <w:pStyle w:val="TableText"/>
              <w:jc w:val="center"/>
              <w:rPr>
                <w:noProof/>
                <w:lang w:val="fr-FR"/>
              </w:rPr>
            </w:pPr>
            <w:r w:rsidRPr="007528C9">
              <w:rPr>
                <w:noProof/>
                <w:lang w:val="fr-FR"/>
              </w:rPr>
              <w:t>2001</w:t>
            </w:r>
          </w:p>
        </w:tc>
        <w:tc>
          <w:tcPr>
            <w:tcW w:w="3012" w:type="dxa"/>
            <w:vAlign w:val="bottom"/>
          </w:tcPr>
          <w:p w:rsidR="00C11A35" w:rsidRPr="007528C9" w:rsidRDefault="00C11A35" w:rsidP="00106083">
            <w:pPr>
              <w:pStyle w:val="TableText"/>
              <w:jc w:val="center"/>
              <w:rPr>
                <w:rStyle w:val="AnswerGray"/>
                <w:noProof/>
                <w:lang w:val="fr-FR"/>
              </w:rPr>
            </w:pPr>
          </w:p>
        </w:tc>
      </w:tr>
      <w:tr w:rsidR="00C11A35" w:rsidRPr="007528C9" w:rsidTr="00106083">
        <w:trPr>
          <w:cantSplit/>
          <w:jc w:val="center"/>
        </w:trPr>
        <w:tc>
          <w:tcPr>
            <w:tcW w:w="2304" w:type="dxa"/>
            <w:vAlign w:val="bottom"/>
          </w:tcPr>
          <w:p w:rsidR="00C11A35" w:rsidRPr="007528C9" w:rsidRDefault="00C11A35" w:rsidP="00106083">
            <w:pPr>
              <w:pStyle w:val="TableText"/>
              <w:jc w:val="center"/>
              <w:rPr>
                <w:noProof/>
                <w:lang w:val="fr-FR"/>
              </w:rPr>
            </w:pPr>
            <w:r w:rsidRPr="007528C9">
              <w:rPr>
                <w:noProof/>
                <w:lang w:val="fr-FR"/>
              </w:rPr>
              <w:t>0DB8</w:t>
            </w:r>
          </w:p>
        </w:tc>
        <w:tc>
          <w:tcPr>
            <w:tcW w:w="3012" w:type="dxa"/>
            <w:vAlign w:val="bottom"/>
          </w:tcPr>
          <w:p w:rsidR="00C11A35" w:rsidRPr="007528C9" w:rsidRDefault="00C11A35" w:rsidP="00106083">
            <w:pPr>
              <w:pStyle w:val="TableText"/>
              <w:jc w:val="center"/>
              <w:rPr>
                <w:rStyle w:val="AnswerGray"/>
                <w:noProof/>
                <w:lang w:val="fr-FR"/>
              </w:rPr>
            </w:pPr>
          </w:p>
        </w:tc>
      </w:tr>
      <w:tr w:rsidR="00C11A35" w:rsidRPr="007528C9" w:rsidTr="00106083">
        <w:trPr>
          <w:cantSplit/>
          <w:jc w:val="center"/>
        </w:trPr>
        <w:tc>
          <w:tcPr>
            <w:tcW w:w="2304" w:type="dxa"/>
            <w:vAlign w:val="bottom"/>
          </w:tcPr>
          <w:p w:rsidR="00C11A35" w:rsidRPr="007528C9" w:rsidRDefault="00C11A35" w:rsidP="00106083">
            <w:pPr>
              <w:pStyle w:val="TableText"/>
              <w:jc w:val="center"/>
              <w:rPr>
                <w:noProof/>
                <w:lang w:val="fr-FR"/>
              </w:rPr>
            </w:pPr>
            <w:r w:rsidRPr="007528C9">
              <w:rPr>
                <w:noProof/>
                <w:lang w:val="fr-FR"/>
              </w:rPr>
              <w:t>ACAD</w:t>
            </w:r>
          </w:p>
        </w:tc>
        <w:tc>
          <w:tcPr>
            <w:tcW w:w="3012" w:type="dxa"/>
            <w:vAlign w:val="bottom"/>
          </w:tcPr>
          <w:p w:rsidR="00C11A35" w:rsidRPr="007528C9" w:rsidRDefault="00C11A35" w:rsidP="00106083">
            <w:pPr>
              <w:pStyle w:val="TableText"/>
              <w:jc w:val="center"/>
              <w:rPr>
                <w:rStyle w:val="AnswerGray"/>
                <w:noProof/>
                <w:lang w:val="fr-FR"/>
              </w:rPr>
            </w:pPr>
          </w:p>
        </w:tc>
      </w:tr>
      <w:tr w:rsidR="00C11A35" w:rsidRPr="007528C9" w:rsidTr="00106083">
        <w:trPr>
          <w:cantSplit/>
          <w:jc w:val="center"/>
        </w:trPr>
        <w:tc>
          <w:tcPr>
            <w:tcW w:w="2304" w:type="dxa"/>
            <w:vAlign w:val="bottom"/>
          </w:tcPr>
          <w:p w:rsidR="00C11A35" w:rsidRPr="007528C9" w:rsidRDefault="00C11A35" w:rsidP="00106083">
            <w:pPr>
              <w:pStyle w:val="TableText"/>
              <w:jc w:val="center"/>
              <w:rPr>
                <w:noProof/>
                <w:lang w:val="fr-FR"/>
              </w:rPr>
            </w:pPr>
            <w:r w:rsidRPr="007528C9">
              <w:rPr>
                <w:noProof/>
                <w:lang w:val="fr-FR"/>
              </w:rPr>
              <w:t>0001</w:t>
            </w:r>
          </w:p>
        </w:tc>
        <w:tc>
          <w:tcPr>
            <w:tcW w:w="3012" w:type="dxa"/>
            <w:vAlign w:val="bottom"/>
          </w:tcPr>
          <w:p w:rsidR="00C11A35" w:rsidRPr="007528C9" w:rsidRDefault="00C11A35" w:rsidP="00106083">
            <w:pPr>
              <w:pStyle w:val="TableText"/>
              <w:jc w:val="center"/>
              <w:rPr>
                <w:rStyle w:val="AnswerGray"/>
                <w:noProof/>
                <w:lang w:val="fr-FR"/>
              </w:rPr>
            </w:pPr>
          </w:p>
        </w:tc>
      </w:tr>
      <w:tr w:rsidR="00C11A35" w:rsidRPr="007528C9" w:rsidTr="00106083">
        <w:trPr>
          <w:cantSplit/>
          <w:jc w:val="center"/>
        </w:trPr>
        <w:tc>
          <w:tcPr>
            <w:tcW w:w="2304" w:type="dxa"/>
            <w:vAlign w:val="bottom"/>
          </w:tcPr>
          <w:p w:rsidR="00C11A35" w:rsidRPr="007528C9" w:rsidRDefault="00C11A35" w:rsidP="00106083">
            <w:pPr>
              <w:pStyle w:val="TableText"/>
              <w:jc w:val="center"/>
              <w:rPr>
                <w:noProof/>
                <w:lang w:val="fr-FR"/>
              </w:rPr>
            </w:pPr>
            <w:r w:rsidRPr="007528C9">
              <w:rPr>
                <w:noProof/>
                <w:lang w:val="fr-FR"/>
              </w:rPr>
              <w:t>0000</w:t>
            </w:r>
          </w:p>
        </w:tc>
        <w:tc>
          <w:tcPr>
            <w:tcW w:w="3012" w:type="dxa"/>
            <w:vAlign w:val="bottom"/>
          </w:tcPr>
          <w:p w:rsidR="00C11A35" w:rsidRPr="007528C9" w:rsidRDefault="00C11A35" w:rsidP="00106083">
            <w:pPr>
              <w:pStyle w:val="TableText"/>
              <w:jc w:val="center"/>
              <w:rPr>
                <w:rStyle w:val="AnswerGray"/>
                <w:noProof/>
                <w:lang w:val="fr-FR"/>
              </w:rPr>
            </w:pPr>
          </w:p>
        </w:tc>
      </w:tr>
      <w:tr w:rsidR="00C11A35" w:rsidRPr="007528C9" w:rsidTr="00106083">
        <w:trPr>
          <w:cantSplit/>
          <w:jc w:val="center"/>
        </w:trPr>
        <w:tc>
          <w:tcPr>
            <w:tcW w:w="2304" w:type="dxa"/>
            <w:vAlign w:val="bottom"/>
          </w:tcPr>
          <w:p w:rsidR="00C11A35" w:rsidRPr="007528C9" w:rsidRDefault="00C11A35" w:rsidP="00106083">
            <w:pPr>
              <w:pStyle w:val="TableText"/>
              <w:jc w:val="center"/>
              <w:rPr>
                <w:noProof/>
                <w:lang w:val="fr-FR"/>
              </w:rPr>
            </w:pPr>
            <w:r w:rsidRPr="007528C9">
              <w:rPr>
                <w:noProof/>
                <w:lang w:val="fr-FR"/>
              </w:rPr>
              <w:t>0000</w:t>
            </w:r>
          </w:p>
        </w:tc>
        <w:tc>
          <w:tcPr>
            <w:tcW w:w="3012" w:type="dxa"/>
            <w:vAlign w:val="bottom"/>
          </w:tcPr>
          <w:p w:rsidR="00C11A35" w:rsidRPr="007528C9" w:rsidRDefault="00C11A35" w:rsidP="00106083">
            <w:pPr>
              <w:pStyle w:val="TableText"/>
              <w:jc w:val="center"/>
              <w:rPr>
                <w:rStyle w:val="AnswerGray"/>
                <w:noProof/>
                <w:lang w:val="fr-FR"/>
              </w:rPr>
            </w:pPr>
          </w:p>
        </w:tc>
      </w:tr>
      <w:tr w:rsidR="00C11A35" w:rsidRPr="007528C9" w:rsidTr="00106083">
        <w:trPr>
          <w:cantSplit/>
          <w:jc w:val="center"/>
        </w:trPr>
        <w:tc>
          <w:tcPr>
            <w:tcW w:w="2304" w:type="dxa"/>
            <w:vAlign w:val="bottom"/>
          </w:tcPr>
          <w:p w:rsidR="00C11A35" w:rsidRPr="007528C9" w:rsidRDefault="00C11A35" w:rsidP="00106083">
            <w:pPr>
              <w:pStyle w:val="TableText"/>
              <w:jc w:val="center"/>
              <w:rPr>
                <w:noProof/>
                <w:lang w:val="fr-FR"/>
              </w:rPr>
            </w:pPr>
            <w:r w:rsidRPr="007528C9">
              <w:rPr>
                <w:noProof/>
                <w:lang w:val="fr-FR"/>
              </w:rPr>
              <w:t>0000</w:t>
            </w:r>
          </w:p>
        </w:tc>
        <w:tc>
          <w:tcPr>
            <w:tcW w:w="3012" w:type="dxa"/>
            <w:vAlign w:val="bottom"/>
          </w:tcPr>
          <w:p w:rsidR="00C11A35" w:rsidRPr="007528C9" w:rsidRDefault="00C11A35" w:rsidP="00106083">
            <w:pPr>
              <w:pStyle w:val="TableText"/>
              <w:jc w:val="center"/>
              <w:rPr>
                <w:rStyle w:val="AnswerGray"/>
                <w:noProof/>
                <w:lang w:val="fr-FR"/>
              </w:rPr>
            </w:pPr>
          </w:p>
        </w:tc>
      </w:tr>
      <w:tr w:rsidR="00C11A35" w:rsidRPr="007528C9" w:rsidTr="00106083">
        <w:trPr>
          <w:cantSplit/>
          <w:jc w:val="center"/>
        </w:trPr>
        <w:tc>
          <w:tcPr>
            <w:tcW w:w="2304" w:type="dxa"/>
            <w:vAlign w:val="bottom"/>
          </w:tcPr>
          <w:p w:rsidR="00C11A35" w:rsidRPr="007528C9" w:rsidRDefault="00C11A35" w:rsidP="00106083">
            <w:pPr>
              <w:pStyle w:val="TableText"/>
              <w:jc w:val="center"/>
              <w:rPr>
                <w:noProof/>
                <w:lang w:val="fr-FR"/>
              </w:rPr>
            </w:pPr>
            <w:r w:rsidRPr="007528C9">
              <w:rPr>
                <w:noProof/>
                <w:lang w:val="fr-FR"/>
              </w:rPr>
              <w:t>0001</w:t>
            </w:r>
          </w:p>
        </w:tc>
        <w:tc>
          <w:tcPr>
            <w:tcW w:w="3012" w:type="dxa"/>
            <w:vAlign w:val="bottom"/>
          </w:tcPr>
          <w:p w:rsidR="00C11A35" w:rsidRPr="007528C9" w:rsidRDefault="00C11A35" w:rsidP="00106083">
            <w:pPr>
              <w:pStyle w:val="TableText"/>
              <w:jc w:val="center"/>
              <w:rPr>
                <w:rStyle w:val="AnswerGray"/>
                <w:noProof/>
                <w:lang w:val="fr-FR"/>
              </w:rPr>
            </w:pPr>
          </w:p>
        </w:tc>
      </w:tr>
    </w:tbl>
    <w:p w:rsidR="00EB48C8" w:rsidRPr="007528C9" w:rsidRDefault="002803A1" w:rsidP="002803A1">
      <w:pPr>
        <w:pStyle w:val="LabSection"/>
        <w:rPr>
          <w:noProof/>
          <w:lang w:val="fr-FR"/>
        </w:rPr>
      </w:pPr>
      <w:r w:rsidRPr="007528C9">
        <w:rPr>
          <w:noProof/>
          <w:lang w:val="fr-FR"/>
        </w:rPr>
        <w:t>Remarques générales</w:t>
      </w:r>
    </w:p>
    <w:p w:rsidR="002803A1" w:rsidRPr="007528C9" w:rsidRDefault="00820DBC" w:rsidP="00200022">
      <w:pPr>
        <w:pStyle w:val="ReflectionQ"/>
        <w:rPr>
          <w:noProof/>
          <w:lang w:val="fr-FR"/>
        </w:rPr>
      </w:pPr>
      <w:r w:rsidRPr="007528C9">
        <w:rPr>
          <w:noProof/>
          <w:lang w:val="fr-FR"/>
        </w:rPr>
        <w:t>Pouvez-vous réaliser toutes les conversions sans l</w:t>
      </w:r>
      <w:r w:rsidR="00853098" w:rsidRPr="007528C9">
        <w:rPr>
          <w:noProof/>
          <w:lang w:val="fr-FR"/>
        </w:rPr>
        <w:t>’</w:t>
      </w:r>
      <w:r w:rsidRPr="007528C9">
        <w:rPr>
          <w:noProof/>
          <w:lang w:val="fr-FR"/>
        </w:rPr>
        <w:t>aide de la calculatrice ? Que pouvez-vous faire pour que cela soit possible ?</w:t>
      </w:r>
    </w:p>
    <w:p w:rsidR="00820DBC" w:rsidRPr="007528C9" w:rsidRDefault="00820DBC" w:rsidP="00D73B26">
      <w:pPr>
        <w:pStyle w:val="BodyTextL25"/>
        <w:rPr>
          <w:noProof/>
          <w:lang w:val="fr-FR"/>
        </w:rPr>
      </w:pPr>
      <w:r w:rsidRPr="007528C9">
        <w:rPr>
          <w:noProof/>
          <w:lang w:val="fr-FR"/>
        </w:rPr>
        <w:t>_______________________________________________________________________________________</w:t>
      </w:r>
    </w:p>
    <w:p w:rsidR="00200022" w:rsidRPr="007528C9" w:rsidRDefault="00200022" w:rsidP="00200022">
      <w:pPr>
        <w:pStyle w:val="ReflectionQ"/>
        <w:rPr>
          <w:noProof/>
          <w:lang w:val="fr-FR"/>
        </w:rPr>
      </w:pPr>
      <w:r w:rsidRPr="007528C9">
        <w:rPr>
          <w:noProof/>
          <w:lang w:val="fr-FR"/>
        </w:rPr>
        <w:t>Pour la plupart des adresses IPv6, la partie réseau de l</w:t>
      </w:r>
      <w:r w:rsidR="00853098" w:rsidRPr="007528C9">
        <w:rPr>
          <w:noProof/>
          <w:lang w:val="fr-FR"/>
        </w:rPr>
        <w:t>’</w:t>
      </w:r>
      <w:r w:rsidRPr="007528C9">
        <w:rPr>
          <w:noProof/>
          <w:lang w:val="fr-FR"/>
        </w:rPr>
        <w:t>adresse se compose généralement de 64 bits. Combien d</w:t>
      </w:r>
      <w:r w:rsidR="00853098" w:rsidRPr="007528C9">
        <w:rPr>
          <w:noProof/>
          <w:lang w:val="fr-FR"/>
        </w:rPr>
        <w:t>’</w:t>
      </w:r>
      <w:r w:rsidRPr="007528C9">
        <w:rPr>
          <w:noProof/>
          <w:lang w:val="fr-FR"/>
        </w:rPr>
        <w:t>hôtes sont-ils disponibles sur un réseau où les 64 premiers bits représentent le réseau ? Conseil : toutes les adresses d</w:t>
      </w:r>
      <w:r w:rsidR="00853098" w:rsidRPr="007528C9">
        <w:rPr>
          <w:noProof/>
          <w:lang w:val="fr-FR"/>
        </w:rPr>
        <w:t>’</w:t>
      </w:r>
      <w:r w:rsidRPr="007528C9">
        <w:rPr>
          <w:noProof/>
          <w:lang w:val="fr-FR"/>
        </w:rPr>
        <w:t>hôte sont disponibles sur le sous-réseau pour les hôtes.</w:t>
      </w:r>
    </w:p>
    <w:p w:rsidR="00200022" w:rsidRPr="007528C9" w:rsidRDefault="00200022" w:rsidP="00200022">
      <w:pPr>
        <w:pStyle w:val="BodyTextL25"/>
        <w:rPr>
          <w:noProof/>
          <w:lang w:val="fr-FR"/>
        </w:rPr>
      </w:pPr>
      <w:r w:rsidRPr="007528C9">
        <w:rPr>
          <w:noProof/>
          <w:lang w:val="fr-FR"/>
        </w:rPr>
        <w:t>_______________________________________________________________________________________</w:t>
      </w:r>
      <w:bookmarkEnd w:id="0"/>
    </w:p>
    <w:sectPr w:rsidR="00200022" w:rsidRPr="007528C9" w:rsidSect="008C4307">
      <w:headerReference w:type="even" r:id="rId10"/>
      <w:headerReference w:type="default" r:id="rId11"/>
      <w:footerReference w:type="even"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62F0" w:rsidRDefault="00EB62F0" w:rsidP="0090659A">
      <w:pPr>
        <w:spacing w:after="0" w:line="240" w:lineRule="auto"/>
      </w:pPr>
      <w:r>
        <w:separator/>
      </w:r>
    </w:p>
    <w:p w:rsidR="00EB62F0" w:rsidRDefault="00EB62F0"/>
    <w:p w:rsidR="00EB62F0" w:rsidRDefault="00EB62F0"/>
    <w:p w:rsidR="00EB62F0" w:rsidRDefault="00EB62F0"/>
    <w:p w:rsidR="00EB62F0" w:rsidRDefault="00EB62F0"/>
  </w:endnote>
  <w:endnote w:type="continuationSeparator" w:id="0">
    <w:p w:rsidR="00EB62F0" w:rsidRDefault="00EB62F0" w:rsidP="0090659A">
      <w:pPr>
        <w:spacing w:after="0" w:line="240" w:lineRule="auto"/>
      </w:pPr>
      <w:r>
        <w:continuationSeparator/>
      </w:r>
    </w:p>
    <w:p w:rsidR="00EB62F0" w:rsidRDefault="00EB62F0"/>
    <w:p w:rsidR="00EB62F0" w:rsidRDefault="00EB62F0"/>
    <w:p w:rsidR="00EB62F0" w:rsidRDefault="00EB62F0"/>
    <w:p w:rsidR="00EB62F0" w:rsidRDefault="00EB62F0"/>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480" w:rsidRDefault="007364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4112CA" w:rsidRDefault="006A45A0" w:rsidP="00736480">
    <w:pPr>
      <w:pStyle w:val="Footer"/>
      <w:rPr>
        <w:noProof/>
        <w:szCs w:val="16"/>
        <w:lang w:val="fr-FR"/>
      </w:rPr>
    </w:pPr>
    <w:r w:rsidRPr="00186CA6">
      <w:rPr>
        <w:lang w:val="fr-FR"/>
      </w:rPr>
      <w:t xml:space="preserve">© </w:t>
    </w:r>
    <w:r w:rsidR="00736480" w:rsidRPr="00765570">
      <w:rPr>
        <w:lang w:val="fr-FR"/>
      </w:rPr>
      <w:t>201</w:t>
    </w:r>
    <w:r w:rsidR="00736480">
      <w:rPr>
        <w:rFonts w:eastAsia="SimSun" w:hint="eastAsia"/>
        <w:lang w:val="fr-FR"/>
      </w:rPr>
      <w:t>4</w:t>
    </w:r>
    <w:r w:rsidR="00736480" w:rsidRPr="00765570">
      <w:rPr>
        <w:lang w:val="fr-FR"/>
      </w:rPr>
      <w:t xml:space="preserve"> </w:t>
    </w:r>
    <w:r w:rsidRPr="00186CA6">
      <w:rPr>
        <w:lang w:val="fr-FR"/>
      </w:rPr>
      <w:t>Cisco et/ou ses filiales. Tous droits réservés. Ceci est un document public de Cisco.</w:t>
    </w:r>
    <w:r w:rsidR="008C4307" w:rsidRPr="004112CA">
      <w:rPr>
        <w:noProof/>
        <w:szCs w:val="16"/>
        <w:lang w:val="fr-FR"/>
      </w:rPr>
      <w:tab/>
      <w:t xml:space="preserve">Page </w:t>
    </w:r>
    <w:r w:rsidR="00213F7F" w:rsidRPr="004112CA">
      <w:rPr>
        <w:b/>
        <w:noProof/>
        <w:szCs w:val="16"/>
        <w:lang w:val="fr-FR"/>
      </w:rPr>
      <w:fldChar w:fldCharType="begin"/>
    </w:r>
    <w:r w:rsidR="008C4307" w:rsidRPr="004112CA">
      <w:rPr>
        <w:b/>
        <w:noProof/>
        <w:szCs w:val="16"/>
        <w:lang w:val="fr-FR"/>
      </w:rPr>
      <w:instrText xml:space="preserve"> PAGE </w:instrText>
    </w:r>
    <w:r w:rsidR="00213F7F" w:rsidRPr="004112CA">
      <w:rPr>
        <w:b/>
        <w:noProof/>
        <w:szCs w:val="16"/>
        <w:lang w:val="fr-FR"/>
      </w:rPr>
      <w:fldChar w:fldCharType="separate"/>
    </w:r>
    <w:r w:rsidR="00736480">
      <w:rPr>
        <w:b/>
        <w:noProof/>
        <w:szCs w:val="16"/>
        <w:lang w:val="fr-FR"/>
      </w:rPr>
      <w:t>2</w:t>
    </w:r>
    <w:r w:rsidR="00213F7F" w:rsidRPr="004112CA">
      <w:rPr>
        <w:b/>
        <w:noProof/>
        <w:szCs w:val="16"/>
        <w:lang w:val="fr-FR"/>
      </w:rPr>
      <w:fldChar w:fldCharType="end"/>
    </w:r>
    <w:r>
      <w:rPr>
        <w:rFonts w:eastAsia="SimSun" w:hint="eastAsia"/>
        <w:b/>
        <w:noProof/>
        <w:szCs w:val="16"/>
        <w:lang w:val="fr-FR" w:eastAsia="zh-CN"/>
      </w:rPr>
      <w:t xml:space="preserve"> </w:t>
    </w:r>
    <w:r w:rsidR="008C4307" w:rsidRPr="004112CA">
      <w:rPr>
        <w:noProof/>
        <w:szCs w:val="16"/>
        <w:lang w:val="fr-FR"/>
      </w:rPr>
      <w:t>sur</w:t>
    </w:r>
    <w:r>
      <w:rPr>
        <w:rFonts w:eastAsia="SimSun" w:hint="eastAsia"/>
        <w:noProof/>
        <w:szCs w:val="16"/>
        <w:lang w:val="fr-FR" w:eastAsia="zh-CN"/>
      </w:rPr>
      <w:t xml:space="preserve"> </w:t>
    </w:r>
    <w:r w:rsidR="00213F7F" w:rsidRPr="004112CA">
      <w:rPr>
        <w:b/>
        <w:noProof/>
        <w:szCs w:val="16"/>
        <w:lang w:val="fr-FR"/>
      </w:rPr>
      <w:fldChar w:fldCharType="begin"/>
    </w:r>
    <w:r w:rsidR="008C4307" w:rsidRPr="004112CA">
      <w:rPr>
        <w:b/>
        <w:noProof/>
        <w:szCs w:val="16"/>
        <w:lang w:val="fr-FR"/>
      </w:rPr>
      <w:instrText xml:space="preserve"> NUMPAGES  </w:instrText>
    </w:r>
    <w:r w:rsidR="00213F7F" w:rsidRPr="004112CA">
      <w:rPr>
        <w:b/>
        <w:noProof/>
        <w:szCs w:val="16"/>
        <w:lang w:val="fr-FR"/>
      </w:rPr>
      <w:fldChar w:fldCharType="separate"/>
    </w:r>
    <w:r w:rsidR="00736480">
      <w:rPr>
        <w:b/>
        <w:noProof/>
        <w:szCs w:val="16"/>
        <w:lang w:val="fr-FR"/>
      </w:rPr>
      <w:t>7</w:t>
    </w:r>
    <w:r w:rsidR="00213F7F" w:rsidRPr="004112CA">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4112CA" w:rsidRDefault="006A45A0" w:rsidP="00736480">
    <w:pPr>
      <w:pStyle w:val="Footer"/>
      <w:rPr>
        <w:noProof/>
        <w:szCs w:val="16"/>
        <w:lang w:val="fr-FR"/>
      </w:rPr>
    </w:pPr>
    <w:r w:rsidRPr="00186CA6">
      <w:rPr>
        <w:lang w:val="fr-FR"/>
      </w:rPr>
      <w:t xml:space="preserve">© </w:t>
    </w:r>
    <w:r w:rsidR="00736480" w:rsidRPr="00765570">
      <w:rPr>
        <w:lang w:val="fr-FR"/>
      </w:rPr>
      <w:t>201</w:t>
    </w:r>
    <w:r w:rsidR="00736480">
      <w:rPr>
        <w:rFonts w:eastAsia="SimSun" w:hint="eastAsia"/>
        <w:lang w:val="fr-FR"/>
      </w:rPr>
      <w:t>4</w:t>
    </w:r>
    <w:r w:rsidR="00736480" w:rsidRPr="00765570">
      <w:rPr>
        <w:lang w:val="fr-FR"/>
      </w:rPr>
      <w:t xml:space="preserve"> </w:t>
    </w:r>
    <w:r w:rsidRPr="00186CA6">
      <w:rPr>
        <w:lang w:val="fr-FR"/>
      </w:rPr>
      <w:t>Cisco et/ou ses filiales. Tous droits réservés. Ceci est un document public de Cisco.</w:t>
    </w:r>
    <w:r w:rsidR="008C4307" w:rsidRPr="004112CA">
      <w:rPr>
        <w:noProof/>
        <w:szCs w:val="16"/>
        <w:lang w:val="fr-FR"/>
      </w:rPr>
      <w:tab/>
      <w:t xml:space="preserve">Page </w:t>
    </w:r>
    <w:r w:rsidR="00213F7F" w:rsidRPr="004112CA">
      <w:rPr>
        <w:b/>
        <w:noProof/>
        <w:szCs w:val="16"/>
        <w:lang w:val="fr-FR"/>
      </w:rPr>
      <w:fldChar w:fldCharType="begin"/>
    </w:r>
    <w:r w:rsidR="008C4307" w:rsidRPr="004112CA">
      <w:rPr>
        <w:b/>
        <w:noProof/>
        <w:szCs w:val="16"/>
        <w:lang w:val="fr-FR"/>
      </w:rPr>
      <w:instrText xml:space="preserve"> PAGE </w:instrText>
    </w:r>
    <w:r w:rsidR="00213F7F" w:rsidRPr="004112CA">
      <w:rPr>
        <w:b/>
        <w:noProof/>
        <w:szCs w:val="16"/>
        <w:lang w:val="fr-FR"/>
      </w:rPr>
      <w:fldChar w:fldCharType="separate"/>
    </w:r>
    <w:r w:rsidR="00736480">
      <w:rPr>
        <w:b/>
        <w:noProof/>
        <w:szCs w:val="16"/>
        <w:lang w:val="fr-FR"/>
      </w:rPr>
      <w:t>1</w:t>
    </w:r>
    <w:r w:rsidR="00213F7F" w:rsidRPr="004112CA">
      <w:rPr>
        <w:b/>
        <w:noProof/>
        <w:szCs w:val="16"/>
        <w:lang w:val="fr-FR"/>
      </w:rPr>
      <w:fldChar w:fldCharType="end"/>
    </w:r>
    <w:r>
      <w:rPr>
        <w:rFonts w:eastAsia="SimSun" w:hint="eastAsia"/>
        <w:b/>
        <w:noProof/>
        <w:szCs w:val="16"/>
        <w:lang w:val="fr-FR" w:eastAsia="zh-CN"/>
      </w:rPr>
      <w:t xml:space="preserve"> </w:t>
    </w:r>
    <w:r w:rsidR="008C4307" w:rsidRPr="004112CA">
      <w:rPr>
        <w:noProof/>
        <w:szCs w:val="16"/>
        <w:lang w:val="fr-FR"/>
      </w:rPr>
      <w:t>sur</w:t>
    </w:r>
    <w:r>
      <w:rPr>
        <w:rFonts w:eastAsia="SimSun" w:hint="eastAsia"/>
        <w:noProof/>
        <w:szCs w:val="16"/>
        <w:lang w:val="fr-FR" w:eastAsia="zh-CN"/>
      </w:rPr>
      <w:t xml:space="preserve"> </w:t>
    </w:r>
    <w:r w:rsidR="00213F7F" w:rsidRPr="004112CA">
      <w:rPr>
        <w:b/>
        <w:noProof/>
        <w:szCs w:val="16"/>
        <w:lang w:val="fr-FR"/>
      </w:rPr>
      <w:fldChar w:fldCharType="begin"/>
    </w:r>
    <w:r w:rsidR="008C4307" w:rsidRPr="004112CA">
      <w:rPr>
        <w:b/>
        <w:noProof/>
        <w:szCs w:val="16"/>
        <w:lang w:val="fr-FR"/>
      </w:rPr>
      <w:instrText xml:space="preserve"> NUMPAGES  </w:instrText>
    </w:r>
    <w:r w:rsidR="00213F7F" w:rsidRPr="004112CA">
      <w:rPr>
        <w:b/>
        <w:noProof/>
        <w:szCs w:val="16"/>
        <w:lang w:val="fr-FR"/>
      </w:rPr>
      <w:fldChar w:fldCharType="separate"/>
    </w:r>
    <w:r w:rsidR="00736480">
      <w:rPr>
        <w:b/>
        <w:noProof/>
        <w:szCs w:val="16"/>
        <w:lang w:val="fr-FR"/>
      </w:rPr>
      <w:t>7</w:t>
    </w:r>
    <w:r w:rsidR="00213F7F" w:rsidRPr="004112CA">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62F0" w:rsidRDefault="00EB62F0" w:rsidP="0090659A">
      <w:pPr>
        <w:spacing w:after="0" w:line="240" w:lineRule="auto"/>
      </w:pPr>
      <w:r>
        <w:separator/>
      </w:r>
    </w:p>
    <w:p w:rsidR="00EB62F0" w:rsidRDefault="00EB62F0"/>
    <w:p w:rsidR="00EB62F0" w:rsidRDefault="00EB62F0"/>
    <w:p w:rsidR="00EB62F0" w:rsidRDefault="00EB62F0"/>
    <w:p w:rsidR="00EB62F0" w:rsidRDefault="00EB62F0"/>
  </w:footnote>
  <w:footnote w:type="continuationSeparator" w:id="0">
    <w:p w:rsidR="00EB62F0" w:rsidRDefault="00EB62F0" w:rsidP="0090659A">
      <w:pPr>
        <w:spacing w:after="0" w:line="240" w:lineRule="auto"/>
      </w:pPr>
      <w:r>
        <w:continuationSeparator/>
      </w:r>
    </w:p>
    <w:p w:rsidR="00EB62F0" w:rsidRDefault="00EB62F0"/>
    <w:p w:rsidR="00EB62F0" w:rsidRDefault="00EB62F0"/>
    <w:p w:rsidR="00EB62F0" w:rsidRDefault="00EB62F0"/>
    <w:p w:rsidR="00EB62F0" w:rsidRDefault="00EB62F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480" w:rsidRDefault="007364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Pr="00B7494E" w:rsidRDefault="00D6147E" w:rsidP="00C52BA6">
    <w:pPr>
      <w:pStyle w:val="PageHead"/>
      <w:rPr>
        <w:noProof/>
        <w:lang w:val="fr-FR"/>
      </w:rPr>
    </w:pPr>
    <w:r w:rsidRPr="00B7494E">
      <w:rPr>
        <w:noProof/>
        <w:lang w:val="fr-FR"/>
      </w:rPr>
      <w:t>Travaux pratiques – Utilisation de la calculatrice Windows pour les adresses réseau</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22636B">
    <w:pPr>
      <w:pStyle w:val="Header"/>
    </w:pPr>
    <w:r>
      <w:rPr>
        <w:noProof/>
        <w:lang w:eastAsia="en-US"/>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780AA3A4"/>
    <w:styleLink w:val="PartStepSubStepList"/>
    <w:lvl w:ilvl="0">
      <w:start w:val="1"/>
      <w:numFmt w:val="decimal"/>
      <w:pStyle w:val="PartHead"/>
      <w:lvlText w:val="%1e partie :"/>
      <w:lvlJc w:val="left"/>
      <w:pPr>
        <w:ind w:left="420" w:hanging="420"/>
      </w:pPr>
      <w:rPr>
        <w:rFonts w:hint="eastAsia"/>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2E617580"/>
    <w:multiLevelType w:val="hybridMultilevel"/>
    <w:tmpl w:val="FD4864D6"/>
    <w:lvl w:ilvl="0" w:tplc="065EA3AA">
      <w:start w:val="1"/>
      <w:numFmt w:val="decimal"/>
      <w:pStyle w:val="StepHead"/>
      <w:lvlText w:val="Étape %1 :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A84889"/>
    <w:multiLevelType w:val="hybridMultilevel"/>
    <w:tmpl w:val="D62878F4"/>
    <w:lvl w:ilvl="0" w:tplc="7C80CC4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78662A3F"/>
    <w:multiLevelType w:val="hybridMultilevel"/>
    <w:tmpl w:val="338CCB8E"/>
    <w:lvl w:ilvl="0" w:tplc="22080738">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4"/>
  </w:num>
  <w:num w:numId="6">
    <w:abstractNumId w:val="6"/>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7169"/>
  </w:hdrShapeDefaults>
  <w:footnotePr>
    <w:footnote w:id="-1"/>
    <w:footnote w:id="0"/>
  </w:footnotePr>
  <w:endnotePr>
    <w:endnote w:id="-1"/>
    <w:endnote w:id="0"/>
  </w:endnotePr>
  <w:compat>
    <w:useFELayout/>
  </w:compat>
  <w:rsids>
    <w:rsidRoot w:val="004A5BC5"/>
    <w:rsid w:val="00004175"/>
    <w:rsid w:val="000059C9"/>
    <w:rsid w:val="000160F7"/>
    <w:rsid w:val="00016D5B"/>
    <w:rsid w:val="00016F30"/>
    <w:rsid w:val="0002047C"/>
    <w:rsid w:val="00021B9A"/>
    <w:rsid w:val="000242D6"/>
    <w:rsid w:val="00024EE5"/>
    <w:rsid w:val="00027744"/>
    <w:rsid w:val="00030750"/>
    <w:rsid w:val="000410A5"/>
    <w:rsid w:val="00041AF6"/>
    <w:rsid w:val="00041EE0"/>
    <w:rsid w:val="00044E62"/>
    <w:rsid w:val="00050BA4"/>
    <w:rsid w:val="00051738"/>
    <w:rsid w:val="00052548"/>
    <w:rsid w:val="0005306A"/>
    <w:rsid w:val="00053EB2"/>
    <w:rsid w:val="0006011C"/>
    <w:rsid w:val="00060696"/>
    <w:rsid w:val="00067A1F"/>
    <w:rsid w:val="000769CF"/>
    <w:rsid w:val="000815D8"/>
    <w:rsid w:val="00085CC6"/>
    <w:rsid w:val="00086294"/>
    <w:rsid w:val="00090C07"/>
    <w:rsid w:val="00091E8D"/>
    <w:rsid w:val="0009378D"/>
    <w:rsid w:val="00097163"/>
    <w:rsid w:val="000A1642"/>
    <w:rsid w:val="000A22C8"/>
    <w:rsid w:val="000A5C89"/>
    <w:rsid w:val="000B2344"/>
    <w:rsid w:val="000B7DE5"/>
    <w:rsid w:val="000C155A"/>
    <w:rsid w:val="000D123A"/>
    <w:rsid w:val="000D3FB1"/>
    <w:rsid w:val="000D4716"/>
    <w:rsid w:val="000D55B4"/>
    <w:rsid w:val="000E65F0"/>
    <w:rsid w:val="000F072C"/>
    <w:rsid w:val="000F6743"/>
    <w:rsid w:val="001006C2"/>
    <w:rsid w:val="00106083"/>
    <w:rsid w:val="00107B2B"/>
    <w:rsid w:val="00112AC5"/>
    <w:rsid w:val="001133DD"/>
    <w:rsid w:val="00115658"/>
    <w:rsid w:val="00120CBE"/>
    <w:rsid w:val="00123D26"/>
    <w:rsid w:val="001261C4"/>
    <w:rsid w:val="001274DE"/>
    <w:rsid w:val="001336B6"/>
    <w:rsid w:val="001366EC"/>
    <w:rsid w:val="0014219C"/>
    <w:rsid w:val="001425ED"/>
    <w:rsid w:val="001445C1"/>
    <w:rsid w:val="00154E3A"/>
    <w:rsid w:val="00157902"/>
    <w:rsid w:val="00163164"/>
    <w:rsid w:val="00166253"/>
    <w:rsid w:val="001710C0"/>
    <w:rsid w:val="00172AFB"/>
    <w:rsid w:val="001772B8"/>
    <w:rsid w:val="00180FBF"/>
    <w:rsid w:val="00182CF4"/>
    <w:rsid w:val="00182E16"/>
    <w:rsid w:val="00186CE1"/>
    <w:rsid w:val="00190635"/>
    <w:rsid w:val="00192F12"/>
    <w:rsid w:val="00193F14"/>
    <w:rsid w:val="00197614"/>
    <w:rsid w:val="001A0312"/>
    <w:rsid w:val="001A15DA"/>
    <w:rsid w:val="001A2086"/>
    <w:rsid w:val="001A2694"/>
    <w:rsid w:val="001A3CC7"/>
    <w:rsid w:val="001A69AC"/>
    <w:rsid w:val="001B5C85"/>
    <w:rsid w:val="001B67D8"/>
    <w:rsid w:val="001B6F95"/>
    <w:rsid w:val="001C05A1"/>
    <w:rsid w:val="001C1D9E"/>
    <w:rsid w:val="001C795A"/>
    <w:rsid w:val="001C7C3B"/>
    <w:rsid w:val="001D4F0C"/>
    <w:rsid w:val="001D5B6F"/>
    <w:rsid w:val="001E0AB8"/>
    <w:rsid w:val="001E37D1"/>
    <w:rsid w:val="001E38E0"/>
    <w:rsid w:val="001E4247"/>
    <w:rsid w:val="001E44BA"/>
    <w:rsid w:val="001E4E72"/>
    <w:rsid w:val="001E62B3"/>
    <w:rsid w:val="001F0171"/>
    <w:rsid w:val="001F0D77"/>
    <w:rsid w:val="001F3158"/>
    <w:rsid w:val="001F7C14"/>
    <w:rsid w:val="001F7DD8"/>
    <w:rsid w:val="00200022"/>
    <w:rsid w:val="00201928"/>
    <w:rsid w:val="00203E26"/>
    <w:rsid w:val="0020449C"/>
    <w:rsid w:val="002113B8"/>
    <w:rsid w:val="00212CF6"/>
    <w:rsid w:val="00213F7F"/>
    <w:rsid w:val="00214FF2"/>
    <w:rsid w:val="00215665"/>
    <w:rsid w:val="002163BB"/>
    <w:rsid w:val="0021792C"/>
    <w:rsid w:val="002226DD"/>
    <w:rsid w:val="002240AB"/>
    <w:rsid w:val="00225E37"/>
    <w:rsid w:val="0022636B"/>
    <w:rsid w:val="002343F6"/>
    <w:rsid w:val="00242E3A"/>
    <w:rsid w:val="00246024"/>
    <w:rsid w:val="002504CB"/>
    <w:rsid w:val="002506CF"/>
    <w:rsid w:val="0025107F"/>
    <w:rsid w:val="00260463"/>
    <w:rsid w:val="00260CD4"/>
    <w:rsid w:val="00261E33"/>
    <w:rsid w:val="002639D8"/>
    <w:rsid w:val="00265F77"/>
    <w:rsid w:val="00266C83"/>
    <w:rsid w:val="002679E4"/>
    <w:rsid w:val="00270A9E"/>
    <w:rsid w:val="00273090"/>
    <w:rsid w:val="002768DC"/>
    <w:rsid w:val="002803A1"/>
    <w:rsid w:val="00280EF0"/>
    <w:rsid w:val="00284D9F"/>
    <w:rsid w:val="00297C92"/>
    <w:rsid w:val="002A6C56"/>
    <w:rsid w:val="002C090C"/>
    <w:rsid w:val="002C1243"/>
    <w:rsid w:val="002C1815"/>
    <w:rsid w:val="002C475E"/>
    <w:rsid w:val="002C6AD6"/>
    <w:rsid w:val="002D6C2A"/>
    <w:rsid w:val="002D7A86"/>
    <w:rsid w:val="002F08D0"/>
    <w:rsid w:val="002F24C3"/>
    <w:rsid w:val="002F45FF"/>
    <w:rsid w:val="002F4A66"/>
    <w:rsid w:val="002F6D17"/>
    <w:rsid w:val="00301EE2"/>
    <w:rsid w:val="00302887"/>
    <w:rsid w:val="003056EB"/>
    <w:rsid w:val="003071FF"/>
    <w:rsid w:val="00310652"/>
    <w:rsid w:val="0031371D"/>
    <w:rsid w:val="00315BD7"/>
    <w:rsid w:val="0031789F"/>
    <w:rsid w:val="00320788"/>
    <w:rsid w:val="003233A3"/>
    <w:rsid w:val="003372A6"/>
    <w:rsid w:val="00342DEA"/>
    <w:rsid w:val="0034455D"/>
    <w:rsid w:val="0034604B"/>
    <w:rsid w:val="00346D17"/>
    <w:rsid w:val="00347972"/>
    <w:rsid w:val="00352331"/>
    <w:rsid w:val="003559CC"/>
    <w:rsid w:val="003569D7"/>
    <w:rsid w:val="003608AC"/>
    <w:rsid w:val="00361370"/>
    <w:rsid w:val="0036465A"/>
    <w:rsid w:val="003753F9"/>
    <w:rsid w:val="00387B57"/>
    <w:rsid w:val="003903A3"/>
    <w:rsid w:val="00392C65"/>
    <w:rsid w:val="00392ED5"/>
    <w:rsid w:val="003A19DC"/>
    <w:rsid w:val="003A1AF2"/>
    <w:rsid w:val="003A1B45"/>
    <w:rsid w:val="003B117A"/>
    <w:rsid w:val="003B46FC"/>
    <w:rsid w:val="003B5767"/>
    <w:rsid w:val="003B7605"/>
    <w:rsid w:val="003C3939"/>
    <w:rsid w:val="003C6BCA"/>
    <w:rsid w:val="003C7902"/>
    <w:rsid w:val="003D0BFF"/>
    <w:rsid w:val="003D1A33"/>
    <w:rsid w:val="003E5BE5"/>
    <w:rsid w:val="003F18D1"/>
    <w:rsid w:val="003F4F0E"/>
    <w:rsid w:val="003F6E06"/>
    <w:rsid w:val="00400447"/>
    <w:rsid w:val="00403C7A"/>
    <w:rsid w:val="00404090"/>
    <w:rsid w:val="004057A6"/>
    <w:rsid w:val="00406554"/>
    <w:rsid w:val="00410BB1"/>
    <w:rsid w:val="004112CA"/>
    <w:rsid w:val="004131B0"/>
    <w:rsid w:val="00416C42"/>
    <w:rsid w:val="00422476"/>
    <w:rsid w:val="0042385C"/>
    <w:rsid w:val="00431654"/>
    <w:rsid w:val="00431EC3"/>
    <w:rsid w:val="00432152"/>
    <w:rsid w:val="004332D8"/>
    <w:rsid w:val="00434926"/>
    <w:rsid w:val="00435EDC"/>
    <w:rsid w:val="00444217"/>
    <w:rsid w:val="00444DD7"/>
    <w:rsid w:val="004478F4"/>
    <w:rsid w:val="00450F7A"/>
    <w:rsid w:val="00452C6D"/>
    <w:rsid w:val="00455E0B"/>
    <w:rsid w:val="004659EE"/>
    <w:rsid w:val="0046731F"/>
    <w:rsid w:val="00473F97"/>
    <w:rsid w:val="0047497C"/>
    <w:rsid w:val="0047510B"/>
    <w:rsid w:val="004762DD"/>
    <w:rsid w:val="004838DC"/>
    <w:rsid w:val="0048545F"/>
    <w:rsid w:val="00485C01"/>
    <w:rsid w:val="00493095"/>
    <w:rsid w:val="004936C2"/>
    <w:rsid w:val="0049379C"/>
    <w:rsid w:val="0049685E"/>
    <w:rsid w:val="00497BA8"/>
    <w:rsid w:val="004A1356"/>
    <w:rsid w:val="004A1CA0"/>
    <w:rsid w:val="004A22E9"/>
    <w:rsid w:val="004A4ACD"/>
    <w:rsid w:val="004A5BC5"/>
    <w:rsid w:val="004B023D"/>
    <w:rsid w:val="004B21A5"/>
    <w:rsid w:val="004C0909"/>
    <w:rsid w:val="004C3F97"/>
    <w:rsid w:val="004D01F2"/>
    <w:rsid w:val="004D3339"/>
    <w:rsid w:val="004D353F"/>
    <w:rsid w:val="004D36D7"/>
    <w:rsid w:val="004D3922"/>
    <w:rsid w:val="004D682B"/>
    <w:rsid w:val="004D73FA"/>
    <w:rsid w:val="004E6152"/>
    <w:rsid w:val="004F344A"/>
    <w:rsid w:val="00503834"/>
    <w:rsid w:val="00504ED4"/>
    <w:rsid w:val="00510639"/>
    <w:rsid w:val="00510DBF"/>
    <w:rsid w:val="00516142"/>
    <w:rsid w:val="00520027"/>
    <w:rsid w:val="0052093C"/>
    <w:rsid w:val="00521B31"/>
    <w:rsid w:val="00522469"/>
    <w:rsid w:val="0052400A"/>
    <w:rsid w:val="0052621F"/>
    <w:rsid w:val="00536F43"/>
    <w:rsid w:val="005510BA"/>
    <w:rsid w:val="00554B4E"/>
    <w:rsid w:val="00556C02"/>
    <w:rsid w:val="00561BB2"/>
    <w:rsid w:val="00563249"/>
    <w:rsid w:val="00564BF7"/>
    <w:rsid w:val="00564DD7"/>
    <w:rsid w:val="00570A65"/>
    <w:rsid w:val="00574CB0"/>
    <w:rsid w:val="00574EA8"/>
    <w:rsid w:val="005762B1"/>
    <w:rsid w:val="00580456"/>
    <w:rsid w:val="00580E73"/>
    <w:rsid w:val="00593386"/>
    <w:rsid w:val="00596998"/>
    <w:rsid w:val="00597115"/>
    <w:rsid w:val="005A3595"/>
    <w:rsid w:val="005A6E62"/>
    <w:rsid w:val="005C6CD3"/>
    <w:rsid w:val="005D0325"/>
    <w:rsid w:val="005D1E89"/>
    <w:rsid w:val="005D2B29"/>
    <w:rsid w:val="005D354A"/>
    <w:rsid w:val="005D379B"/>
    <w:rsid w:val="005D522B"/>
    <w:rsid w:val="005D67F2"/>
    <w:rsid w:val="005D7F6A"/>
    <w:rsid w:val="005E082A"/>
    <w:rsid w:val="005E3235"/>
    <w:rsid w:val="005E4176"/>
    <w:rsid w:val="005E65B5"/>
    <w:rsid w:val="005F12A4"/>
    <w:rsid w:val="005F3AE9"/>
    <w:rsid w:val="005F5957"/>
    <w:rsid w:val="006007BB"/>
    <w:rsid w:val="00601749"/>
    <w:rsid w:val="00601DC0"/>
    <w:rsid w:val="006034CB"/>
    <w:rsid w:val="00610DE9"/>
    <w:rsid w:val="00612FFB"/>
    <w:rsid w:val="006131CE"/>
    <w:rsid w:val="00617D6E"/>
    <w:rsid w:val="00621434"/>
    <w:rsid w:val="006221CB"/>
    <w:rsid w:val="00622A70"/>
    <w:rsid w:val="00622D61"/>
    <w:rsid w:val="00624198"/>
    <w:rsid w:val="00624FE9"/>
    <w:rsid w:val="00635C40"/>
    <w:rsid w:val="006428E5"/>
    <w:rsid w:val="00644958"/>
    <w:rsid w:val="006450BE"/>
    <w:rsid w:val="00660D47"/>
    <w:rsid w:val="00672919"/>
    <w:rsid w:val="006858DC"/>
    <w:rsid w:val="00686587"/>
    <w:rsid w:val="006904CF"/>
    <w:rsid w:val="00695EE2"/>
    <w:rsid w:val="0069660B"/>
    <w:rsid w:val="006A1B33"/>
    <w:rsid w:val="006A45A0"/>
    <w:rsid w:val="006A48F1"/>
    <w:rsid w:val="006A71A3"/>
    <w:rsid w:val="006B03F2"/>
    <w:rsid w:val="006B1639"/>
    <w:rsid w:val="006B312B"/>
    <w:rsid w:val="006B4923"/>
    <w:rsid w:val="006B52B2"/>
    <w:rsid w:val="006B5CA7"/>
    <w:rsid w:val="006B5E89"/>
    <w:rsid w:val="006C19B2"/>
    <w:rsid w:val="006C2EDA"/>
    <w:rsid w:val="006C30A0"/>
    <w:rsid w:val="006C35FF"/>
    <w:rsid w:val="006C57F2"/>
    <w:rsid w:val="006C5949"/>
    <w:rsid w:val="006C6832"/>
    <w:rsid w:val="006D1370"/>
    <w:rsid w:val="006D2C28"/>
    <w:rsid w:val="006D3FC1"/>
    <w:rsid w:val="006E09F7"/>
    <w:rsid w:val="006E3042"/>
    <w:rsid w:val="006E6581"/>
    <w:rsid w:val="006E71DF"/>
    <w:rsid w:val="006F1CC4"/>
    <w:rsid w:val="006F2A86"/>
    <w:rsid w:val="006F3163"/>
    <w:rsid w:val="00705FEC"/>
    <w:rsid w:val="00706B03"/>
    <w:rsid w:val="0070790A"/>
    <w:rsid w:val="0071147A"/>
    <w:rsid w:val="0071185D"/>
    <w:rsid w:val="007152A1"/>
    <w:rsid w:val="0071571F"/>
    <w:rsid w:val="007222AD"/>
    <w:rsid w:val="007267CF"/>
    <w:rsid w:val="00731F3F"/>
    <w:rsid w:val="00733BAB"/>
    <w:rsid w:val="00736480"/>
    <w:rsid w:val="00736BFB"/>
    <w:rsid w:val="007436BF"/>
    <w:rsid w:val="007443E9"/>
    <w:rsid w:val="00745D42"/>
    <w:rsid w:val="00745DCE"/>
    <w:rsid w:val="00750E36"/>
    <w:rsid w:val="007528C9"/>
    <w:rsid w:val="00752D6E"/>
    <w:rsid w:val="00753D89"/>
    <w:rsid w:val="00755C9B"/>
    <w:rsid w:val="00757116"/>
    <w:rsid w:val="00760FE4"/>
    <w:rsid w:val="00763D8B"/>
    <w:rsid w:val="007657F6"/>
    <w:rsid w:val="00765E47"/>
    <w:rsid w:val="007702D8"/>
    <w:rsid w:val="0077125A"/>
    <w:rsid w:val="00775527"/>
    <w:rsid w:val="00786F58"/>
    <w:rsid w:val="00787CC1"/>
    <w:rsid w:val="00791C4B"/>
    <w:rsid w:val="00792F4E"/>
    <w:rsid w:val="0079398D"/>
    <w:rsid w:val="007962B4"/>
    <w:rsid w:val="00796C25"/>
    <w:rsid w:val="007A055C"/>
    <w:rsid w:val="007A287C"/>
    <w:rsid w:val="007A3B2A"/>
    <w:rsid w:val="007B5522"/>
    <w:rsid w:val="007C0EE0"/>
    <w:rsid w:val="007C1B71"/>
    <w:rsid w:val="007C2FBB"/>
    <w:rsid w:val="007C7164"/>
    <w:rsid w:val="007C7ED3"/>
    <w:rsid w:val="007D1984"/>
    <w:rsid w:val="007D25DD"/>
    <w:rsid w:val="007D2AFE"/>
    <w:rsid w:val="007D40D8"/>
    <w:rsid w:val="007E2C56"/>
    <w:rsid w:val="007E3FEA"/>
    <w:rsid w:val="007F0A0B"/>
    <w:rsid w:val="007F3A60"/>
    <w:rsid w:val="007F3D0B"/>
    <w:rsid w:val="007F3FC8"/>
    <w:rsid w:val="007F7C94"/>
    <w:rsid w:val="008013AA"/>
    <w:rsid w:val="00802220"/>
    <w:rsid w:val="00810E4B"/>
    <w:rsid w:val="00814BAA"/>
    <w:rsid w:val="00820DBC"/>
    <w:rsid w:val="00824295"/>
    <w:rsid w:val="00825942"/>
    <w:rsid w:val="008313F3"/>
    <w:rsid w:val="008405BB"/>
    <w:rsid w:val="00846494"/>
    <w:rsid w:val="00847B20"/>
    <w:rsid w:val="008509D3"/>
    <w:rsid w:val="00851A22"/>
    <w:rsid w:val="00853098"/>
    <w:rsid w:val="00853418"/>
    <w:rsid w:val="00857CF6"/>
    <w:rsid w:val="008610ED"/>
    <w:rsid w:val="00861C6A"/>
    <w:rsid w:val="00865199"/>
    <w:rsid w:val="00867EAF"/>
    <w:rsid w:val="0087336A"/>
    <w:rsid w:val="00873C6B"/>
    <w:rsid w:val="0088426A"/>
    <w:rsid w:val="008852BA"/>
    <w:rsid w:val="00890108"/>
    <w:rsid w:val="00893877"/>
    <w:rsid w:val="0089532C"/>
    <w:rsid w:val="00896165"/>
    <w:rsid w:val="00896681"/>
    <w:rsid w:val="008A2749"/>
    <w:rsid w:val="008A3348"/>
    <w:rsid w:val="008A3A90"/>
    <w:rsid w:val="008B06D4"/>
    <w:rsid w:val="008B244D"/>
    <w:rsid w:val="008B4F20"/>
    <w:rsid w:val="008B7FFD"/>
    <w:rsid w:val="008C2920"/>
    <w:rsid w:val="008C4307"/>
    <w:rsid w:val="008C7015"/>
    <w:rsid w:val="008D23DF"/>
    <w:rsid w:val="008D4FA5"/>
    <w:rsid w:val="008D73BF"/>
    <w:rsid w:val="008D7F09"/>
    <w:rsid w:val="008E5B64"/>
    <w:rsid w:val="008E7DAA"/>
    <w:rsid w:val="008F0094"/>
    <w:rsid w:val="008F340F"/>
    <w:rsid w:val="008F4863"/>
    <w:rsid w:val="00902932"/>
    <w:rsid w:val="00903523"/>
    <w:rsid w:val="0090659A"/>
    <w:rsid w:val="00915986"/>
    <w:rsid w:val="00917624"/>
    <w:rsid w:val="00930386"/>
    <w:rsid w:val="009309F5"/>
    <w:rsid w:val="009324C4"/>
    <w:rsid w:val="00933237"/>
    <w:rsid w:val="00933F28"/>
    <w:rsid w:val="00945C15"/>
    <w:rsid w:val="00945C68"/>
    <w:rsid w:val="00946F33"/>
    <w:rsid w:val="009476C0"/>
    <w:rsid w:val="009505A8"/>
    <w:rsid w:val="00951F49"/>
    <w:rsid w:val="00963E34"/>
    <w:rsid w:val="00964DFA"/>
    <w:rsid w:val="00966BE5"/>
    <w:rsid w:val="00966C62"/>
    <w:rsid w:val="009706EC"/>
    <w:rsid w:val="009722C5"/>
    <w:rsid w:val="00973343"/>
    <w:rsid w:val="00973DBE"/>
    <w:rsid w:val="00975DAB"/>
    <w:rsid w:val="0098155C"/>
    <w:rsid w:val="0098189F"/>
    <w:rsid w:val="00983B77"/>
    <w:rsid w:val="00985FB7"/>
    <w:rsid w:val="00986F47"/>
    <w:rsid w:val="00996053"/>
    <w:rsid w:val="009A0B2F"/>
    <w:rsid w:val="009A0EAB"/>
    <w:rsid w:val="009A1CF4"/>
    <w:rsid w:val="009A371D"/>
    <w:rsid w:val="009A37D7"/>
    <w:rsid w:val="009A4E17"/>
    <w:rsid w:val="009A4F7C"/>
    <w:rsid w:val="009A6955"/>
    <w:rsid w:val="009B341C"/>
    <w:rsid w:val="009B5747"/>
    <w:rsid w:val="009D0BAD"/>
    <w:rsid w:val="009D2C27"/>
    <w:rsid w:val="009D59D1"/>
    <w:rsid w:val="009E2309"/>
    <w:rsid w:val="009E42B9"/>
    <w:rsid w:val="009E693A"/>
    <w:rsid w:val="009F1089"/>
    <w:rsid w:val="009F5F35"/>
    <w:rsid w:val="009F6255"/>
    <w:rsid w:val="00A014A3"/>
    <w:rsid w:val="00A0412D"/>
    <w:rsid w:val="00A21211"/>
    <w:rsid w:val="00A34E7F"/>
    <w:rsid w:val="00A4021F"/>
    <w:rsid w:val="00A46F0A"/>
    <w:rsid w:val="00A46F25"/>
    <w:rsid w:val="00A47CC2"/>
    <w:rsid w:val="00A47D3B"/>
    <w:rsid w:val="00A5704B"/>
    <w:rsid w:val="00A57E23"/>
    <w:rsid w:val="00A60146"/>
    <w:rsid w:val="00A60259"/>
    <w:rsid w:val="00A61595"/>
    <w:rsid w:val="00A622C4"/>
    <w:rsid w:val="00A72355"/>
    <w:rsid w:val="00A754B4"/>
    <w:rsid w:val="00A807C1"/>
    <w:rsid w:val="00A82032"/>
    <w:rsid w:val="00A83374"/>
    <w:rsid w:val="00A84FFD"/>
    <w:rsid w:val="00A85FD9"/>
    <w:rsid w:val="00A86204"/>
    <w:rsid w:val="00A86EB9"/>
    <w:rsid w:val="00A96172"/>
    <w:rsid w:val="00AA7B2E"/>
    <w:rsid w:val="00AB04C8"/>
    <w:rsid w:val="00AB0D6A"/>
    <w:rsid w:val="00AB43B3"/>
    <w:rsid w:val="00AB49B9"/>
    <w:rsid w:val="00AB758A"/>
    <w:rsid w:val="00AC1E7E"/>
    <w:rsid w:val="00AC507D"/>
    <w:rsid w:val="00AC66E4"/>
    <w:rsid w:val="00AD4578"/>
    <w:rsid w:val="00AD6410"/>
    <w:rsid w:val="00AD68E9"/>
    <w:rsid w:val="00AE16A3"/>
    <w:rsid w:val="00AE1DB9"/>
    <w:rsid w:val="00AE56C0"/>
    <w:rsid w:val="00AE5C88"/>
    <w:rsid w:val="00AE7733"/>
    <w:rsid w:val="00AF12C4"/>
    <w:rsid w:val="00AF1488"/>
    <w:rsid w:val="00AF3B9F"/>
    <w:rsid w:val="00AF7B65"/>
    <w:rsid w:val="00B00914"/>
    <w:rsid w:val="00B00B67"/>
    <w:rsid w:val="00B02A8E"/>
    <w:rsid w:val="00B052EE"/>
    <w:rsid w:val="00B070D8"/>
    <w:rsid w:val="00B1081F"/>
    <w:rsid w:val="00B254D8"/>
    <w:rsid w:val="00B27499"/>
    <w:rsid w:val="00B3010D"/>
    <w:rsid w:val="00B35151"/>
    <w:rsid w:val="00B35A3A"/>
    <w:rsid w:val="00B433F2"/>
    <w:rsid w:val="00B458E8"/>
    <w:rsid w:val="00B5397B"/>
    <w:rsid w:val="00B56B9A"/>
    <w:rsid w:val="00B574AF"/>
    <w:rsid w:val="00B606FD"/>
    <w:rsid w:val="00B62809"/>
    <w:rsid w:val="00B7494E"/>
    <w:rsid w:val="00B7675A"/>
    <w:rsid w:val="00B81898"/>
    <w:rsid w:val="00B8606B"/>
    <w:rsid w:val="00B878E7"/>
    <w:rsid w:val="00B97278"/>
    <w:rsid w:val="00B97943"/>
    <w:rsid w:val="00BA1D0B"/>
    <w:rsid w:val="00BA5A54"/>
    <w:rsid w:val="00BA6972"/>
    <w:rsid w:val="00BB1E0D"/>
    <w:rsid w:val="00BB4D9B"/>
    <w:rsid w:val="00BB73FF"/>
    <w:rsid w:val="00BB7688"/>
    <w:rsid w:val="00BC3541"/>
    <w:rsid w:val="00BC3E96"/>
    <w:rsid w:val="00BC7CAC"/>
    <w:rsid w:val="00BD1768"/>
    <w:rsid w:val="00BD6D76"/>
    <w:rsid w:val="00BE3516"/>
    <w:rsid w:val="00BE56B3"/>
    <w:rsid w:val="00BF04E8"/>
    <w:rsid w:val="00BF0A70"/>
    <w:rsid w:val="00BF16BF"/>
    <w:rsid w:val="00BF2C30"/>
    <w:rsid w:val="00BF46EF"/>
    <w:rsid w:val="00BF4D1F"/>
    <w:rsid w:val="00C02A73"/>
    <w:rsid w:val="00C041B1"/>
    <w:rsid w:val="00C063D2"/>
    <w:rsid w:val="00C07FD9"/>
    <w:rsid w:val="00C10955"/>
    <w:rsid w:val="00C11A35"/>
    <w:rsid w:val="00C11C4D"/>
    <w:rsid w:val="00C1712C"/>
    <w:rsid w:val="00C23E16"/>
    <w:rsid w:val="00C268D6"/>
    <w:rsid w:val="00C26CC3"/>
    <w:rsid w:val="00C27E37"/>
    <w:rsid w:val="00C32713"/>
    <w:rsid w:val="00C351B8"/>
    <w:rsid w:val="00C410D9"/>
    <w:rsid w:val="00C41168"/>
    <w:rsid w:val="00C44DB7"/>
    <w:rsid w:val="00C4510A"/>
    <w:rsid w:val="00C47F17"/>
    <w:rsid w:val="00C47F2E"/>
    <w:rsid w:val="00C52BA6"/>
    <w:rsid w:val="00C57A1A"/>
    <w:rsid w:val="00C6258F"/>
    <w:rsid w:val="00C63DF6"/>
    <w:rsid w:val="00C63E58"/>
    <w:rsid w:val="00C64523"/>
    <w:rsid w:val="00C6495E"/>
    <w:rsid w:val="00C670EE"/>
    <w:rsid w:val="00C67E3B"/>
    <w:rsid w:val="00C80621"/>
    <w:rsid w:val="00C87EB9"/>
    <w:rsid w:val="00C90311"/>
    <w:rsid w:val="00C91C26"/>
    <w:rsid w:val="00C91D5D"/>
    <w:rsid w:val="00C95A19"/>
    <w:rsid w:val="00C96711"/>
    <w:rsid w:val="00CA73D5"/>
    <w:rsid w:val="00CC1C87"/>
    <w:rsid w:val="00CC3000"/>
    <w:rsid w:val="00CC4859"/>
    <w:rsid w:val="00CC7A35"/>
    <w:rsid w:val="00CD072A"/>
    <w:rsid w:val="00CD1626"/>
    <w:rsid w:val="00CD7F73"/>
    <w:rsid w:val="00CE2034"/>
    <w:rsid w:val="00CE26C5"/>
    <w:rsid w:val="00CE36AF"/>
    <w:rsid w:val="00CE54DD"/>
    <w:rsid w:val="00CF0DA5"/>
    <w:rsid w:val="00CF5536"/>
    <w:rsid w:val="00CF5D31"/>
    <w:rsid w:val="00CF5F3B"/>
    <w:rsid w:val="00CF791A"/>
    <w:rsid w:val="00CF7D0D"/>
    <w:rsid w:val="00D00D7D"/>
    <w:rsid w:val="00D00DCB"/>
    <w:rsid w:val="00D05F6D"/>
    <w:rsid w:val="00D07B89"/>
    <w:rsid w:val="00D12A78"/>
    <w:rsid w:val="00D139C8"/>
    <w:rsid w:val="00D17238"/>
    <w:rsid w:val="00D17F81"/>
    <w:rsid w:val="00D2266E"/>
    <w:rsid w:val="00D2758C"/>
    <w:rsid w:val="00D275CA"/>
    <w:rsid w:val="00D2789B"/>
    <w:rsid w:val="00D336C1"/>
    <w:rsid w:val="00D345AB"/>
    <w:rsid w:val="00D41566"/>
    <w:rsid w:val="00D458EC"/>
    <w:rsid w:val="00D501B0"/>
    <w:rsid w:val="00D52582"/>
    <w:rsid w:val="00D56A0E"/>
    <w:rsid w:val="00D57AD3"/>
    <w:rsid w:val="00D60E99"/>
    <w:rsid w:val="00D6147E"/>
    <w:rsid w:val="00D635FE"/>
    <w:rsid w:val="00D704E6"/>
    <w:rsid w:val="00D70F84"/>
    <w:rsid w:val="00D729DE"/>
    <w:rsid w:val="00D73B26"/>
    <w:rsid w:val="00D75B6A"/>
    <w:rsid w:val="00D84BDA"/>
    <w:rsid w:val="00D876A8"/>
    <w:rsid w:val="00D87F26"/>
    <w:rsid w:val="00D93063"/>
    <w:rsid w:val="00D933B0"/>
    <w:rsid w:val="00D977E8"/>
    <w:rsid w:val="00D97B16"/>
    <w:rsid w:val="00DA0A95"/>
    <w:rsid w:val="00DA6632"/>
    <w:rsid w:val="00DB1C89"/>
    <w:rsid w:val="00DB3763"/>
    <w:rsid w:val="00DB3A85"/>
    <w:rsid w:val="00DB4029"/>
    <w:rsid w:val="00DB5F4D"/>
    <w:rsid w:val="00DB6DA5"/>
    <w:rsid w:val="00DC076B"/>
    <w:rsid w:val="00DC186F"/>
    <w:rsid w:val="00DC252F"/>
    <w:rsid w:val="00DC6050"/>
    <w:rsid w:val="00DD43EA"/>
    <w:rsid w:val="00DD5361"/>
    <w:rsid w:val="00DE6F44"/>
    <w:rsid w:val="00DF0CDE"/>
    <w:rsid w:val="00E037D9"/>
    <w:rsid w:val="00E04927"/>
    <w:rsid w:val="00E130EB"/>
    <w:rsid w:val="00E15DCE"/>
    <w:rsid w:val="00E162CD"/>
    <w:rsid w:val="00E17FA5"/>
    <w:rsid w:val="00E24500"/>
    <w:rsid w:val="00E24983"/>
    <w:rsid w:val="00E26930"/>
    <w:rsid w:val="00E27257"/>
    <w:rsid w:val="00E273A5"/>
    <w:rsid w:val="00E30F03"/>
    <w:rsid w:val="00E35D2F"/>
    <w:rsid w:val="00E35E4E"/>
    <w:rsid w:val="00E36AFF"/>
    <w:rsid w:val="00E449D0"/>
    <w:rsid w:val="00E4506A"/>
    <w:rsid w:val="00E53F99"/>
    <w:rsid w:val="00E56510"/>
    <w:rsid w:val="00E62EA8"/>
    <w:rsid w:val="00E67A6E"/>
    <w:rsid w:val="00E71B43"/>
    <w:rsid w:val="00E81612"/>
    <w:rsid w:val="00E84847"/>
    <w:rsid w:val="00E87D18"/>
    <w:rsid w:val="00E87D62"/>
    <w:rsid w:val="00EA0EFC"/>
    <w:rsid w:val="00EA3DC9"/>
    <w:rsid w:val="00EA4413"/>
    <w:rsid w:val="00EA486E"/>
    <w:rsid w:val="00EA4FA3"/>
    <w:rsid w:val="00EB001B"/>
    <w:rsid w:val="00EB48C8"/>
    <w:rsid w:val="00EB62F0"/>
    <w:rsid w:val="00EB6C33"/>
    <w:rsid w:val="00ED6019"/>
    <w:rsid w:val="00ED6C36"/>
    <w:rsid w:val="00ED7830"/>
    <w:rsid w:val="00EE3909"/>
    <w:rsid w:val="00EF27AA"/>
    <w:rsid w:val="00EF4205"/>
    <w:rsid w:val="00EF5939"/>
    <w:rsid w:val="00EF6BC4"/>
    <w:rsid w:val="00F01714"/>
    <w:rsid w:val="00F0258F"/>
    <w:rsid w:val="00F02D06"/>
    <w:rsid w:val="00F056E5"/>
    <w:rsid w:val="00F06FDD"/>
    <w:rsid w:val="00F10819"/>
    <w:rsid w:val="00F156F9"/>
    <w:rsid w:val="00F16F35"/>
    <w:rsid w:val="00F2229D"/>
    <w:rsid w:val="00F24080"/>
    <w:rsid w:val="00F25ABB"/>
    <w:rsid w:val="00F27963"/>
    <w:rsid w:val="00F30446"/>
    <w:rsid w:val="00F3295B"/>
    <w:rsid w:val="00F35203"/>
    <w:rsid w:val="00F36C20"/>
    <w:rsid w:val="00F37E00"/>
    <w:rsid w:val="00F4135D"/>
    <w:rsid w:val="00F41F1B"/>
    <w:rsid w:val="00F451D6"/>
    <w:rsid w:val="00F46BD9"/>
    <w:rsid w:val="00F52FD3"/>
    <w:rsid w:val="00F60BE0"/>
    <w:rsid w:val="00F6280E"/>
    <w:rsid w:val="00F63203"/>
    <w:rsid w:val="00F7050A"/>
    <w:rsid w:val="00F75533"/>
    <w:rsid w:val="00F7648B"/>
    <w:rsid w:val="00FA0CE7"/>
    <w:rsid w:val="00FA3811"/>
    <w:rsid w:val="00FA3B9F"/>
    <w:rsid w:val="00FA3F06"/>
    <w:rsid w:val="00FA4A26"/>
    <w:rsid w:val="00FA7084"/>
    <w:rsid w:val="00FA7BEF"/>
    <w:rsid w:val="00FB0011"/>
    <w:rsid w:val="00FB1929"/>
    <w:rsid w:val="00FB5FD9"/>
    <w:rsid w:val="00FD117A"/>
    <w:rsid w:val="00FD2939"/>
    <w:rsid w:val="00FD33AB"/>
    <w:rsid w:val="00FD4724"/>
    <w:rsid w:val="00FD4A68"/>
    <w:rsid w:val="00FD68ED"/>
    <w:rsid w:val="00FE2824"/>
    <w:rsid w:val="00FE661F"/>
    <w:rsid w:val="00FE7F91"/>
    <w:rsid w:val="00FF0400"/>
    <w:rsid w:val="00FF3D6B"/>
    <w:rsid w:val="00FF5C55"/>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B070D8"/>
    <w:pPr>
      <w:keepNext/>
      <w:numPr>
        <w:numId w:val="9"/>
      </w:numPr>
      <w:tabs>
        <w:tab w:val="left" w:pos="990"/>
        <w:tab w:val="left" w:pos="1144"/>
      </w:tabs>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1">
    <w:name w:val="正文文本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1"/>
    <w:next w:val="1"/>
    <w:qFormat/>
    <w:rsid w:val="00FD33AB"/>
    <w:rPr>
      <w:color w:val="FF0000"/>
    </w:rPr>
  </w:style>
  <w:style w:type="paragraph" w:customStyle="1" w:styleId="PartHead">
    <w:name w:val="Part Head"/>
    <w:basedOn w:val="ListParagraph"/>
    <w:next w:val="BodyTextL25"/>
    <w:qFormat/>
    <w:rsid w:val="00B070D8"/>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1"/>
    <w:qFormat/>
    <w:rsid w:val="00596998"/>
    <w:pPr>
      <w:spacing w:before="120" w:after="120"/>
      <w:ind w:left="360"/>
    </w:pPr>
  </w:style>
  <w:style w:type="paragraph" w:customStyle="1" w:styleId="InstNoteRedL50">
    <w:name w:val="Inst Note Red L50"/>
    <w:basedOn w:val="InstNoteRed"/>
    <w:next w:val="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NormalWeb">
    <w:name w:val="Normal (Web)"/>
    <w:basedOn w:val="Normal"/>
    <w:uiPriority w:val="99"/>
    <w:semiHidden/>
    <w:unhideWhenUsed/>
    <w:rsid w:val="00431EC3"/>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431EC3"/>
    <w:rPr>
      <w:color w:val="0000FF"/>
      <w:u w:val="single"/>
    </w:rPr>
  </w:style>
  <w:style w:type="character" w:styleId="HTMLCite">
    <w:name w:val="HTML Cite"/>
    <w:uiPriority w:val="99"/>
    <w:semiHidden/>
    <w:unhideWhenUsed/>
    <w:rsid w:val="00820DBC"/>
    <w:rPr>
      <w:i/>
      <w:iCs/>
    </w:rPr>
  </w:style>
</w:styles>
</file>

<file path=word/webSettings.xml><?xml version="1.0" encoding="utf-8"?>
<w:webSettings xmlns:r="http://schemas.openxmlformats.org/officeDocument/2006/relationships" xmlns:w="http://schemas.openxmlformats.org/wordprocessingml/2006/main">
  <w:divs>
    <w:div w:id="142661580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3BD42B16-FABA-4FA8-94E1-83BC3A828BE8}">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2162</Words>
  <Characters>12327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14461</CharactersWithSpaces>
  <SharedDoc>false</SharedDoc>
  <HLinks>
    <vt:vector size="6" baseType="variant">
      <vt:variant>
        <vt:i4>2228258</vt:i4>
      </vt:variant>
      <vt:variant>
        <vt:i4>0</vt:i4>
      </vt:variant>
      <vt:variant>
        <vt:i4>0</vt:i4>
      </vt:variant>
      <vt:variant>
        <vt:i4>5</vt:i4>
      </vt:variant>
      <vt:variant>
        <vt:lpwstr>https://learningnetwork.cisco.com/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Windows User</cp:lastModifiedBy>
  <cp:revision>14</cp:revision>
  <dcterms:created xsi:type="dcterms:W3CDTF">2013-05-21T20:24:00Z</dcterms:created>
  <dcterms:modified xsi:type="dcterms:W3CDTF">2013-12-23T08:26:00Z</dcterms:modified>
</cp:coreProperties>
</file>