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890A26" w:rsidRDefault="00DF2B9E" w:rsidP="00774B00">
      <w:pPr>
        <w:pStyle w:val="LabTitle"/>
        <w:ind w:rightChars="200" w:right="440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890A26">
        <w:rPr>
          <w:noProof/>
          <w:lang w:val="fr-FR"/>
        </w:rPr>
        <w:t>Packet Tracer : exercice d’intégration des compétences</w:t>
      </w:r>
    </w:p>
    <w:p w:rsidR="00EB60AE" w:rsidRPr="00890A26" w:rsidRDefault="00EB60AE" w:rsidP="00EB60AE">
      <w:pPr>
        <w:pStyle w:val="LabSection"/>
        <w:rPr>
          <w:noProof/>
          <w:lang w:val="fr-FR"/>
        </w:rPr>
      </w:pPr>
      <w:r w:rsidRPr="00890A26">
        <w:rPr>
          <w:noProof/>
          <w:lang w:val="fr-FR"/>
        </w:rPr>
        <w:t>Topologie</w:t>
      </w:r>
    </w:p>
    <w:p w:rsidR="00EB60AE" w:rsidRPr="00890A26" w:rsidRDefault="00EC40ED" w:rsidP="00EB60AE">
      <w:pPr>
        <w:pStyle w:val="Visual"/>
        <w:rPr>
          <w:noProof/>
          <w:lang w:val="fr-FR"/>
        </w:rPr>
      </w:pPr>
      <w:r w:rsidRPr="00890A26">
        <w:rPr>
          <w:noProof/>
          <w:lang w:eastAsia="en-US"/>
        </w:rPr>
        <w:drawing>
          <wp:inline distT="0" distB="0" distL="0" distR="0">
            <wp:extent cx="3990975" cy="2476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7B" w:rsidRPr="00890A26" w:rsidRDefault="00603E7B" w:rsidP="00603E7B">
      <w:pPr>
        <w:pStyle w:val="LabSection"/>
        <w:rPr>
          <w:noProof/>
          <w:lang w:val="fr-FR"/>
        </w:rPr>
      </w:pPr>
      <w:r w:rsidRPr="00890A26">
        <w:rPr>
          <w:noProof/>
          <w:lang w:val="fr-FR"/>
        </w:rPr>
        <w:lastRenderedPageBreak/>
        <w:t>Table d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adressage</w:t>
      </w:r>
    </w:p>
    <w:tbl>
      <w:tblPr>
        <w:tblW w:w="87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16"/>
        <w:gridCol w:w="1084"/>
        <w:gridCol w:w="1710"/>
        <w:gridCol w:w="2665"/>
        <w:gridCol w:w="1661"/>
      </w:tblGrid>
      <w:tr w:rsidR="00500E71" w:rsidRPr="00890A26" w:rsidTr="00774B00">
        <w:trPr>
          <w:cantSplit/>
          <w:trHeight w:val="206"/>
          <w:jc w:val="center"/>
        </w:trPr>
        <w:tc>
          <w:tcPr>
            <w:tcW w:w="161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890A26" w:rsidRDefault="00500E71" w:rsidP="004604CC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Périphérique</w:t>
            </w:r>
          </w:p>
        </w:tc>
        <w:tc>
          <w:tcPr>
            <w:tcW w:w="10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890A26" w:rsidRDefault="00500E71" w:rsidP="004604CC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890A26" w:rsidRDefault="00500E71" w:rsidP="004604CC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Adresse IPv4</w:t>
            </w:r>
          </w:p>
        </w:tc>
        <w:tc>
          <w:tcPr>
            <w:tcW w:w="2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890A26" w:rsidRDefault="00500E71" w:rsidP="004604CC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Masque de sous-réseau</w:t>
            </w:r>
          </w:p>
        </w:tc>
        <w:tc>
          <w:tcPr>
            <w:tcW w:w="166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890A26" w:rsidRDefault="00500E71" w:rsidP="004604CC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Passerelle par défaut</w:t>
            </w:r>
          </w:p>
        </w:tc>
      </w:tr>
      <w:tr w:rsidR="00500E71" w:rsidRPr="00890A26" w:rsidTr="00774B00">
        <w:trPr>
          <w:cantSplit/>
          <w:trHeight w:val="413"/>
          <w:jc w:val="center"/>
        </w:trPr>
        <w:tc>
          <w:tcPr>
            <w:tcW w:w="161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890A26" w:rsidRDefault="00500E71" w:rsidP="00167DC7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890A26" w:rsidRDefault="00500E71" w:rsidP="00167DC7">
            <w:pPr>
              <w:pStyle w:val="TableHeading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890A26" w:rsidRDefault="00500E71" w:rsidP="003F0A5F">
            <w:pPr>
              <w:pStyle w:val="TableHeading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Adresse IPv6/préfixe</w:t>
            </w:r>
          </w:p>
        </w:tc>
        <w:tc>
          <w:tcPr>
            <w:tcW w:w="166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890A26" w:rsidRDefault="00500E71" w:rsidP="00167DC7">
            <w:pPr>
              <w:pStyle w:val="TableHeading"/>
              <w:rPr>
                <w:noProof/>
                <w:lang w:val="fr-FR"/>
              </w:rPr>
            </w:pPr>
          </w:p>
        </w:tc>
      </w:tr>
      <w:tr w:rsidR="0056487B" w:rsidRPr="00890A26" w:rsidTr="00774B00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R1</w:t>
            </w:r>
          </w:p>
        </w:tc>
        <w:tc>
          <w:tcPr>
            <w:tcW w:w="1084" w:type="dxa"/>
            <w:vMerge w:val="restart"/>
            <w:vAlign w:val="center"/>
          </w:tcPr>
          <w:p w:rsidR="0056487B" w:rsidRPr="00890A26" w:rsidRDefault="003F44F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G0/0</w:t>
            </w:r>
          </w:p>
        </w:tc>
        <w:tc>
          <w:tcPr>
            <w:tcW w:w="1710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172.16.10.1</w:t>
            </w:r>
          </w:p>
        </w:tc>
        <w:tc>
          <w:tcPr>
            <w:tcW w:w="2665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NA</w:t>
            </w:r>
          </w:p>
        </w:tc>
      </w:tr>
      <w:tr w:rsidR="0056487B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2001:DB8:CAFE:1::1/64</w:t>
            </w:r>
          </w:p>
        </w:tc>
        <w:tc>
          <w:tcPr>
            <w:tcW w:w="1661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NA</w:t>
            </w:r>
          </w:p>
        </w:tc>
      </w:tr>
      <w:tr w:rsidR="0056487B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 w:val="restart"/>
            <w:vAlign w:val="center"/>
          </w:tcPr>
          <w:p w:rsidR="0056487B" w:rsidRPr="00890A26" w:rsidRDefault="003F44F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G0/1</w:t>
            </w:r>
          </w:p>
        </w:tc>
        <w:tc>
          <w:tcPr>
            <w:tcW w:w="1710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172.16.10.65</w:t>
            </w:r>
          </w:p>
        </w:tc>
        <w:tc>
          <w:tcPr>
            <w:tcW w:w="2665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NA</w:t>
            </w:r>
          </w:p>
        </w:tc>
      </w:tr>
      <w:tr w:rsidR="0056487B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2001:DB8:CAFE:2::1/64</w:t>
            </w:r>
          </w:p>
        </w:tc>
        <w:tc>
          <w:tcPr>
            <w:tcW w:w="1661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NA</w:t>
            </w:r>
          </w:p>
        </w:tc>
      </w:tr>
      <w:tr w:rsidR="0056487B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Link-local</w:t>
            </w:r>
          </w:p>
        </w:tc>
        <w:tc>
          <w:tcPr>
            <w:tcW w:w="4375" w:type="dxa"/>
            <w:gridSpan w:val="2"/>
            <w:vAlign w:val="center"/>
          </w:tcPr>
          <w:p w:rsidR="0056487B" w:rsidRPr="00890A26" w:rsidDel="0056487B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FE80::1</w:t>
            </w:r>
          </w:p>
        </w:tc>
        <w:tc>
          <w:tcPr>
            <w:tcW w:w="1661" w:type="dxa"/>
            <w:vAlign w:val="center"/>
          </w:tcPr>
          <w:p w:rsidR="0056487B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NA</w:t>
            </w: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S1</w:t>
            </w:r>
          </w:p>
        </w:tc>
        <w:tc>
          <w:tcPr>
            <w:tcW w:w="1084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VLAN 1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172.16.10.62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172.16.10.1</w:t>
            </w: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S2</w:t>
            </w:r>
          </w:p>
        </w:tc>
        <w:tc>
          <w:tcPr>
            <w:tcW w:w="1084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VLAN 1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172.16.10.126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172.16.10.65</w:t>
            </w: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ManagerA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NIC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172.16.10.3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2001:DB8:CAFE:1::3/64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Accounting.pka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NIC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172.16.10.2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2001:DB8:CAFE:1::2/64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ManagerB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NIC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172.16.10.67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2001:DB8:CAFE:2::3/64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Website.pka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890A26" w:rsidRDefault="0060329F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NIC</w:t>
            </w:r>
          </w:p>
        </w:tc>
        <w:tc>
          <w:tcPr>
            <w:tcW w:w="1710" w:type="dxa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172.16.10.66</w:t>
            </w:r>
          </w:p>
        </w:tc>
        <w:tc>
          <w:tcPr>
            <w:tcW w:w="2665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255.255.255.192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  <w:tr w:rsidR="00A019DE" w:rsidRPr="00890A26" w:rsidTr="00774B00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084" w:type="dxa"/>
            <w:vMerge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4375" w:type="dxa"/>
            <w:gridSpan w:val="2"/>
            <w:vAlign w:val="center"/>
          </w:tcPr>
          <w:p w:rsidR="00A019DE" w:rsidRPr="00890A26" w:rsidRDefault="0056487B" w:rsidP="004604CC">
            <w:pPr>
              <w:pStyle w:val="TableText"/>
              <w:rPr>
                <w:noProof/>
                <w:lang w:val="fr-FR"/>
              </w:rPr>
            </w:pPr>
            <w:r w:rsidRPr="00890A26">
              <w:rPr>
                <w:noProof/>
                <w:lang w:val="fr-FR"/>
              </w:rPr>
              <w:t>2001:DB8:CAFE:2::2/64</w:t>
            </w:r>
          </w:p>
        </w:tc>
        <w:tc>
          <w:tcPr>
            <w:tcW w:w="1661" w:type="dxa"/>
            <w:vAlign w:val="center"/>
          </w:tcPr>
          <w:p w:rsidR="00A019DE" w:rsidRPr="00890A26" w:rsidRDefault="00A019DE" w:rsidP="004604CC">
            <w:pPr>
              <w:pStyle w:val="TableText"/>
              <w:rPr>
                <w:noProof/>
                <w:color w:val="FF0000"/>
                <w:lang w:val="fr-FR"/>
              </w:rPr>
            </w:pPr>
          </w:p>
        </w:tc>
      </w:tr>
    </w:tbl>
    <w:p w:rsidR="00EB69ED" w:rsidRPr="00890A26" w:rsidRDefault="00EB69ED" w:rsidP="00EB69ED">
      <w:pPr>
        <w:pStyle w:val="LabSection"/>
        <w:rPr>
          <w:noProof/>
          <w:lang w:val="fr-FR"/>
        </w:rPr>
      </w:pPr>
      <w:r w:rsidRPr="00890A26">
        <w:rPr>
          <w:noProof/>
          <w:lang w:val="fr-FR"/>
        </w:rPr>
        <w:t>Scénario</w:t>
      </w:r>
    </w:p>
    <w:p w:rsidR="00EB69ED" w:rsidRPr="00890A26" w:rsidRDefault="00EB69ED" w:rsidP="00EB69ED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890A26">
        <w:rPr>
          <w:noProof/>
          <w:lang w:val="fr-FR"/>
        </w:rPr>
        <w:t>Votre entreprise a remporté un contrat qui prévoit la configuration d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un petit réseau pour un propriétaire de restaurants. Il possède deux restaurants proches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un de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autre qui partagent la même connexion. Le matériel et le câblage sont installés et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administrateur réseau a conçu le plan de mise en œuvre. Votre travail consiste à implémenter le reste du schéma d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adressage en fonction de la table d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adressage abrégée et à vérifier la connectivité.</w:t>
      </w:r>
    </w:p>
    <w:p w:rsidR="004604CC" w:rsidRPr="00890A26" w:rsidRDefault="004604CC" w:rsidP="004604CC">
      <w:pPr>
        <w:pStyle w:val="LabSection"/>
        <w:rPr>
          <w:noProof/>
          <w:lang w:val="fr-FR"/>
        </w:rPr>
      </w:pPr>
      <w:r w:rsidRPr="00890A26">
        <w:rPr>
          <w:noProof/>
          <w:lang w:val="fr-FR"/>
        </w:rPr>
        <w:t>Conditions requises</w:t>
      </w:r>
    </w:p>
    <w:p w:rsidR="0009227D" w:rsidRPr="00890A26" w:rsidRDefault="0009227D" w:rsidP="004604CC">
      <w:pPr>
        <w:pStyle w:val="Bulletlevel1"/>
        <w:rPr>
          <w:noProof/>
          <w:lang w:val="fr-FR"/>
        </w:rPr>
      </w:pPr>
      <w:r w:rsidRPr="00890A26">
        <w:rPr>
          <w:noProof/>
          <w:lang w:val="fr-FR"/>
        </w:rPr>
        <w:t xml:space="preserve">Complétez la documentation de la </w:t>
      </w:r>
      <w:r w:rsidRPr="00890A26">
        <w:rPr>
          <w:b/>
          <w:noProof/>
          <w:lang w:val="fr-FR"/>
        </w:rPr>
        <w:t>table d</w:t>
      </w:r>
      <w:r w:rsidR="00924041" w:rsidRPr="00890A26">
        <w:rPr>
          <w:b/>
          <w:noProof/>
          <w:lang w:val="fr-FR"/>
        </w:rPr>
        <w:t>’</w:t>
      </w:r>
      <w:r w:rsidRPr="00890A26">
        <w:rPr>
          <w:b/>
          <w:noProof/>
          <w:lang w:val="fr-FR"/>
        </w:rPr>
        <w:t>adressage</w:t>
      </w:r>
      <w:r w:rsidRPr="00890A26">
        <w:rPr>
          <w:noProof/>
          <w:lang w:val="fr-FR"/>
        </w:rPr>
        <w:t>.</w:t>
      </w:r>
    </w:p>
    <w:p w:rsidR="004604CC" w:rsidRPr="00890A26" w:rsidRDefault="004604CC" w:rsidP="004604CC">
      <w:pPr>
        <w:pStyle w:val="Bulletlevel1"/>
        <w:rPr>
          <w:noProof/>
          <w:lang w:val="fr-FR"/>
        </w:rPr>
      </w:pPr>
      <w:r w:rsidRPr="00890A26">
        <w:rPr>
          <w:noProof/>
          <w:lang w:val="fr-FR"/>
        </w:rPr>
        <w:t>Configurez</w:t>
      </w:r>
      <w:r w:rsidRPr="00890A26">
        <w:rPr>
          <w:b/>
          <w:noProof/>
          <w:lang w:val="fr-FR"/>
        </w:rPr>
        <w:t xml:space="preserve"> R1</w:t>
      </w:r>
      <w:r w:rsidRPr="00890A26">
        <w:rPr>
          <w:noProof/>
          <w:lang w:val="fr-FR"/>
        </w:rPr>
        <w:t xml:space="preserve"> avec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adressage IPv4 et IPv6.</w:t>
      </w:r>
    </w:p>
    <w:p w:rsidR="004604CC" w:rsidRPr="00890A26" w:rsidRDefault="004604CC" w:rsidP="004604CC">
      <w:pPr>
        <w:pStyle w:val="Bulletlevel1"/>
        <w:rPr>
          <w:noProof/>
          <w:lang w:val="fr-FR"/>
        </w:rPr>
      </w:pPr>
      <w:r w:rsidRPr="00890A26">
        <w:rPr>
          <w:noProof/>
          <w:lang w:val="fr-FR"/>
        </w:rPr>
        <w:t xml:space="preserve">Configurez </w:t>
      </w:r>
      <w:r w:rsidRPr="00890A26">
        <w:rPr>
          <w:b/>
          <w:noProof/>
          <w:lang w:val="fr-FR"/>
        </w:rPr>
        <w:t>S1</w:t>
      </w:r>
      <w:r w:rsidRPr="00890A26">
        <w:rPr>
          <w:noProof/>
          <w:lang w:val="fr-FR"/>
        </w:rPr>
        <w:t xml:space="preserve"> avec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 xml:space="preserve">adressage IPv4. </w:t>
      </w:r>
      <w:r w:rsidRPr="00890A26">
        <w:rPr>
          <w:b/>
          <w:noProof/>
          <w:lang w:val="fr-FR"/>
        </w:rPr>
        <w:t>S2</w:t>
      </w:r>
      <w:r w:rsidRPr="00890A26">
        <w:rPr>
          <w:noProof/>
          <w:lang w:val="fr-FR"/>
        </w:rPr>
        <w:t xml:space="preserve"> est déjà configuré.</w:t>
      </w:r>
    </w:p>
    <w:p w:rsidR="004604CC" w:rsidRPr="00890A26" w:rsidRDefault="003D566D" w:rsidP="004604CC">
      <w:pPr>
        <w:pStyle w:val="Bulletlevel1"/>
        <w:rPr>
          <w:noProof/>
          <w:lang w:val="fr-FR"/>
        </w:rPr>
      </w:pPr>
      <w:r w:rsidRPr="00890A26">
        <w:rPr>
          <w:noProof/>
          <w:lang w:val="fr-FR"/>
        </w:rPr>
        <w:t>Configurez</w:t>
      </w:r>
      <w:r w:rsidR="00380370">
        <w:rPr>
          <w:rFonts w:eastAsia="SimSun" w:hint="eastAsia"/>
          <w:noProof/>
          <w:lang w:val="fr-FR"/>
        </w:rPr>
        <w:t xml:space="preserve"> </w:t>
      </w:r>
      <w:r w:rsidR="0060329F" w:rsidRPr="00890A26">
        <w:rPr>
          <w:b/>
          <w:noProof/>
          <w:lang w:val="fr-FR"/>
        </w:rPr>
        <w:t>ManagerA</w:t>
      </w:r>
      <w:r w:rsidRPr="00890A26">
        <w:rPr>
          <w:noProof/>
          <w:lang w:val="fr-FR"/>
        </w:rPr>
        <w:t xml:space="preserve"> avec l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adressage IPv4 et IPv6. Les autres clients sont déjà configurés.</w:t>
      </w:r>
    </w:p>
    <w:p w:rsidR="003D566D" w:rsidRPr="00890A26" w:rsidRDefault="003D566D" w:rsidP="004604CC">
      <w:pPr>
        <w:pStyle w:val="Bulletlevel1"/>
        <w:rPr>
          <w:noProof/>
          <w:lang w:val="fr-FR"/>
        </w:rPr>
      </w:pPr>
      <w:r w:rsidRPr="00890A26">
        <w:rPr>
          <w:noProof/>
          <w:lang w:val="fr-FR"/>
        </w:rPr>
        <w:t>Vérifiez la connectivité. Tous les clients doivent être capables de s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envoyer des requêtes ping et d</w:t>
      </w:r>
      <w:r w:rsidR="00924041" w:rsidRPr="00890A26">
        <w:rPr>
          <w:noProof/>
          <w:lang w:val="fr-FR"/>
        </w:rPr>
        <w:t>’</w:t>
      </w:r>
      <w:r w:rsidRPr="00890A26">
        <w:rPr>
          <w:noProof/>
          <w:lang w:val="fr-FR"/>
        </w:rPr>
        <w:t>accéder à des sites Web sur</w:t>
      </w:r>
      <w:r w:rsidRPr="00890A26">
        <w:rPr>
          <w:b/>
          <w:noProof/>
          <w:lang w:val="fr-FR"/>
        </w:rPr>
        <w:t xml:space="preserve"> Accounting.pka </w:t>
      </w:r>
      <w:r w:rsidRPr="00890A26">
        <w:rPr>
          <w:noProof/>
          <w:lang w:val="fr-FR"/>
        </w:rPr>
        <w:t xml:space="preserve">et </w:t>
      </w:r>
      <w:r w:rsidRPr="00890A26">
        <w:rPr>
          <w:b/>
          <w:noProof/>
          <w:lang w:val="fr-FR"/>
        </w:rPr>
        <w:t>Website.pka.</w:t>
      </w:r>
    </w:p>
    <w:p w:rsidR="00EC40ED" w:rsidRPr="00890A26" w:rsidRDefault="00EC40ED" w:rsidP="00EC40ED">
      <w:pPr>
        <w:pStyle w:val="LabSection"/>
        <w:rPr>
          <w:noProof/>
          <w:lang w:val="fr-FR"/>
        </w:rPr>
      </w:pPr>
      <w:r w:rsidRPr="00890A26">
        <w:rPr>
          <w:noProof/>
          <w:lang w:val="fr-FR"/>
        </w:rPr>
        <w:t>Suggestion de barème de notation</w:t>
      </w:r>
    </w:p>
    <w:p w:rsidR="00EC40ED" w:rsidRPr="00890A26" w:rsidRDefault="00EC40ED" w:rsidP="00EC40ED">
      <w:pPr>
        <w:pStyle w:val="BodyTextL25"/>
        <w:rPr>
          <w:noProof/>
          <w:lang w:val="fr-FR"/>
        </w:rPr>
      </w:pPr>
      <w:r w:rsidRPr="00890A26">
        <w:rPr>
          <w:noProof/>
          <w:lang w:val="fr-FR"/>
        </w:rPr>
        <w:t xml:space="preserve">Packet Tracer </w:t>
      </w:r>
      <w:r w:rsidR="0060329F" w:rsidRPr="00890A26">
        <w:rPr>
          <w:noProof/>
          <w:lang w:val="fr-FR"/>
        </w:rPr>
        <w:t>donne</w:t>
      </w:r>
      <w:r w:rsidRPr="00890A26">
        <w:rPr>
          <w:noProof/>
          <w:lang w:val="fr-FR"/>
        </w:rPr>
        <w:t xml:space="preserve"> 80 points. Le fait de compléter la </w:t>
      </w:r>
      <w:r w:rsidRPr="00890A26">
        <w:rPr>
          <w:b/>
          <w:noProof/>
          <w:lang w:val="fr-FR"/>
        </w:rPr>
        <w:t>table d</w:t>
      </w:r>
      <w:r w:rsidR="00924041" w:rsidRPr="00890A26">
        <w:rPr>
          <w:b/>
          <w:noProof/>
          <w:lang w:val="fr-FR"/>
        </w:rPr>
        <w:t>’</w:t>
      </w:r>
      <w:r w:rsidRPr="00890A26">
        <w:rPr>
          <w:b/>
          <w:noProof/>
          <w:lang w:val="fr-FR"/>
        </w:rPr>
        <w:t xml:space="preserve">adressage </w:t>
      </w:r>
      <w:r w:rsidRPr="00890A26">
        <w:rPr>
          <w:noProof/>
          <w:lang w:val="fr-FR"/>
        </w:rPr>
        <w:t>vaut 20 points.</w:t>
      </w:r>
    </w:p>
    <w:bookmarkEnd w:id="0"/>
    <w:p w:rsidR="00EC40ED" w:rsidRPr="00890A26" w:rsidRDefault="00EC40ED" w:rsidP="00EC40ED">
      <w:pPr>
        <w:pStyle w:val="Bulletlevel1"/>
        <w:numPr>
          <w:ilvl w:val="0"/>
          <w:numId w:val="0"/>
        </w:numPr>
        <w:ind w:left="720" w:hanging="360"/>
        <w:rPr>
          <w:noProof/>
          <w:lang w:val="fr-FR"/>
        </w:rPr>
      </w:pPr>
    </w:p>
    <w:sectPr w:rsidR="00EC40ED" w:rsidRPr="00890A26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D90" w:rsidRDefault="00BF7D90" w:rsidP="0090659A">
      <w:pPr>
        <w:spacing w:after="0" w:line="240" w:lineRule="auto"/>
      </w:pPr>
      <w:r>
        <w:separator/>
      </w:r>
    </w:p>
    <w:p w:rsidR="00BF7D90" w:rsidRDefault="00BF7D90"/>
    <w:p w:rsidR="00BF7D90" w:rsidRDefault="00BF7D90"/>
    <w:p w:rsidR="00BF7D90" w:rsidRDefault="00BF7D90"/>
    <w:p w:rsidR="00BF7D90" w:rsidRDefault="00BF7D90"/>
  </w:endnote>
  <w:endnote w:type="continuationSeparator" w:id="0">
    <w:p w:rsidR="00BF7D90" w:rsidRDefault="00BF7D90" w:rsidP="0090659A">
      <w:pPr>
        <w:spacing w:after="0" w:line="240" w:lineRule="auto"/>
      </w:pPr>
      <w:r>
        <w:continuationSeparator/>
      </w:r>
    </w:p>
    <w:p w:rsidR="00BF7D90" w:rsidRDefault="00BF7D90"/>
    <w:p w:rsidR="00BF7D90" w:rsidRDefault="00BF7D90"/>
    <w:p w:rsidR="00BF7D90" w:rsidRDefault="00BF7D90"/>
    <w:p w:rsidR="00BF7D90" w:rsidRDefault="00BF7D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1E" w:rsidRDefault="002A6B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Pr="00774B00" w:rsidRDefault="00500E71" w:rsidP="002A6B1E">
    <w:pPr>
      <w:pStyle w:val="Footer"/>
      <w:rPr>
        <w:noProof/>
        <w:szCs w:val="16"/>
        <w:lang w:val="fr-FR"/>
      </w:rPr>
    </w:pPr>
    <w:r w:rsidRPr="00774B00">
      <w:rPr>
        <w:noProof/>
        <w:lang w:val="fr-FR"/>
      </w:rPr>
      <w:t xml:space="preserve">© </w:t>
    </w:r>
    <w:r w:rsidR="002A6B1E" w:rsidRPr="00765570">
      <w:rPr>
        <w:lang w:val="fr-FR"/>
      </w:rPr>
      <w:t>201</w:t>
    </w:r>
    <w:r w:rsidR="002A6B1E">
      <w:rPr>
        <w:rFonts w:eastAsia="SimSun" w:hint="eastAsia"/>
        <w:lang w:val="fr-FR"/>
      </w:rPr>
      <w:t>4</w:t>
    </w:r>
    <w:r w:rsidR="002A6B1E" w:rsidRPr="00765570">
      <w:rPr>
        <w:lang w:val="fr-FR"/>
      </w:rPr>
      <w:t xml:space="preserve"> </w:t>
    </w:r>
    <w:r w:rsidRPr="00774B00">
      <w:rPr>
        <w:noProof/>
        <w:lang w:val="fr-FR"/>
      </w:rPr>
      <w:t>Cisco et/ou ses filiales. Tous droits réservés. Ceci est un document public de Cisco.</w:t>
    </w:r>
    <w:r w:rsidRPr="00774B00">
      <w:rPr>
        <w:noProof/>
        <w:szCs w:val="16"/>
        <w:lang w:val="fr-FR"/>
      </w:rPr>
      <w:tab/>
      <w:t xml:space="preserve">Page </w:t>
    </w:r>
    <w:r w:rsidR="00636B4C" w:rsidRPr="00774B00">
      <w:rPr>
        <w:b/>
        <w:noProof/>
        <w:szCs w:val="16"/>
        <w:lang w:val="fr-FR"/>
      </w:rPr>
      <w:fldChar w:fldCharType="begin"/>
    </w:r>
    <w:r w:rsidRPr="00774B00">
      <w:rPr>
        <w:b/>
        <w:noProof/>
        <w:szCs w:val="16"/>
        <w:lang w:val="fr-FR"/>
      </w:rPr>
      <w:instrText xml:space="preserve"> PAGE </w:instrText>
    </w:r>
    <w:r w:rsidR="00636B4C" w:rsidRPr="00774B00">
      <w:rPr>
        <w:b/>
        <w:noProof/>
        <w:szCs w:val="16"/>
        <w:lang w:val="fr-FR"/>
      </w:rPr>
      <w:fldChar w:fldCharType="separate"/>
    </w:r>
    <w:r w:rsidR="002A6B1E">
      <w:rPr>
        <w:b/>
        <w:noProof/>
        <w:szCs w:val="16"/>
        <w:lang w:val="fr-FR"/>
      </w:rPr>
      <w:t>2</w:t>
    </w:r>
    <w:r w:rsidR="00636B4C" w:rsidRPr="00774B00">
      <w:rPr>
        <w:b/>
        <w:noProof/>
        <w:szCs w:val="16"/>
        <w:lang w:val="fr-FR"/>
      </w:rPr>
      <w:fldChar w:fldCharType="end"/>
    </w:r>
    <w:r w:rsidRPr="00774B00">
      <w:rPr>
        <w:noProof/>
        <w:szCs w:val="16"/>
        <w:lang w:val="fr-FR"/>
      </w:rPr>
      <w:t xml:space="preserve"> sur </w:t>
    </w:r>
    <w:r w:rsidR="00636B4C" w:rsidRPr="00774B00">
      <w:rPr>
        <w:b/>
        <w:noProof/>
        <w:szCs w:val="16"/>
        <w:lang w:val="fr-FR"/>
      </w:rPr>
      <w:fldChar w:fldCharType="begin"/>
    </w:r>
    <w:r w:rsidRPr="00774B00">
      <w:rPr>
        <w:b/>
        <w:noProof/>
        <w:szCs w:val="16"/>
        <w:lang w:val="fr-FR"/>
      </w:rPr>
      <w:instrText xml:space="preserve"> NUMPAGES  </w:instrText>
    </w:r>
    <w:r w:rsidR="00636B4C" w:rsidRPr="00774B00">
      <w:rPr>
        <w:b/>
        <w:noProof/>
        <w:szCs w:val="16"/>
        <w:lang w:val="fr-FR"/>
      </w:rPr>
      <w:fldChar w:fldCharType="separate"/>
    </w:r>
    <w:r w:rsidR="002A6B1E">
      <w:rPr>
        <w:b/>
        <w:noProof/>
        <w:szCs w:val="16"/>
        <w:lang w:val="fr-FR"/>
      </w:rPr>
      <w:t>2</w:t>
    </w:r>
    <w:r w:rsidR="00636B4C" w:rsidRPr="00774B00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Pr="00774B00" w:rsidRDefault="00500E71" w:rsidP="002A6B1E">
    <w:pPr>
      <w:pStyle w:val="Footer"/>
      <w:rPr>
        <w:noProof/>
        <w:szCs w:val="16"/>
        <w:lang w:val="fr-FR"/>
      </w:rPr>
    </w:pPr>
    <w:r w:rsidRPr="00774B00">
      <w:rPr>
        <w:noProof/>
        <w:lang w:val="fr-FR"/>
      </w:rPr>
      <w:t xml:space="preserve">© </w:t>
    </w:r>
    <w:r w:rsidR="002A6B1E" w:rsidRPr="00765570">
      <w:rPr>
        <w:lang w:val="fr-FR"/>
      </w:rPr>
      <w:t>201</w:t>
    </w:r>
    <w:r w:rsidR="002A6B1E">
      <w:rPr>
        <w:rFonts w:eastAsia="SimSun" w:hint="eastAsia"/>
        <w:lang w:val="fr-FR"/>
      </w:rPr>
      <w:t>4</w:t>
    </w:r>
    <w:r w:rsidR="002A6B1E" w:rsidRPr="00765570">
      <w:rPr>
        <w:lang w:val="fr-FR"/>
      </w:rPr>
      <w:t xml:space="preserve"> </w:t>
    </w:r>
    <w:r w:rsidRPr="00774B00">
      <w:rPr>
        <w:noProof/>
        <w:lang w:val="fr-FR"/>
      </w:rPr>
      <w:t>Cisco et/ou ses filiales. Tous droits réservés. Ceci est un document public de Cisco.</w:t>
    </w:r>
    <w:r w:rsidRPr="00774B00">
      <w:rPr>
        <w:noProof/>
        <w:szCs w:val="16"/>
        <w:lang w:val="fr-FR"/>
      </w:rPr>
      <w:tab/>
      <w:t xml:space="preserve">Page </w:t>
    </w:r>
    <w:r w:rsidR="00636B4C" w:rsidRPr="00774B00">
      <w:rPr>
        <w:b/>
        <w:noProof/>
        <w:szCs w:val="16"/>
        <w:lang w:val="fr-FR"/>
      </w:rPr>
      <w:fldChar w:fldCharType="begin"/>
    </w:r>
    <w:r w:rsidRPr="00774B00">
      <w:rPr>
        <w:b/>
        <w:noProof/>
        <w:szCs w:val="16"/>
        <w:lang w:val="fr-FR"/>
      </w:rPr>
      <w:instrText xml:space="preserve"> PAGE </w:instrText>
    </w:r>
    <w:r w:rsidR="00636B4C" w:rsidRPr="00774B00">
      <w:rPr>
        <w:b/>
        <w:noProof/>
        <w:szCs w:val="16"/>
        <w:lang w:val="fr-FR"/>
      </w:rPr>
      <w:fldChar w:fldCharType="separate"/>
    </w:r>
    <w:r w:rsidR="002A6B1E">
      <w:rPr>
        <w:b/>
        <w:noProof/>
        <w:szCs w:val="16"/>
        <w:lang w:val="fr-FR"/>
      </w:rPr>
      <w:t>1</w:t>
    </w:r>
    <w:r w:rsidR="00636B4C" w:rsidRPr="00774B00">
      <w:rPr>
        <w:b/>
        <w:noProof/>
        <w:szCs w:val="16"/>
        <w:lang w:val="fr-FR"/>
      </w:rPr>
      <w:fldChar w:fldCharType="end"/>
    </w:r>
    <w:r w:rsidRPr="00774B00">
      <w:rPr>
        <w:noProof/>
        <w:szCs w:val="16"/>
        <w:lang w:val="fr-FR"/>
      </w:rPr>
      <w:t xml:space="preserve"> sur </w:t>
    </w:r>
    <w:r w:rsidR="00636B4C" w:rsidRPr="00774B00">
      <w:rPr>
        <w:b/>
        <w:noProof/>
        <w:szCs w:val="16"/>
        <w:lang w:val="fr-FR"/>
      </w:rPr>
      <w:fldChar w:fldCharType="begin"/>
    </w:r>
    <w:r w:rsidRPr="00774B00">
      <w:rPr>
        <w:b/>
        <w:noProof/>
        <w:szCs w:val="16"/>
        <w:lang w:val="fr-FR"/>
      </w:rPr>
      <w:instrText xml:space="preserve"> NUMPAGES  </w:instrText>
    </w:r>
    <w:r w:rsidR="00636B4C" w:rsidRPr="00774B00">
      <w:rPr>
        <w:b/>
        <w:noProof/>
        <w:szCs w:val="16"/>
        <w:lang w:val="fr-FR"/>
      </w:rPr>
      <w:fldChar w:fldCharType="separate"/>
    </w:r>
    <w:r w:rsidR="002A6B1E">
      <w:rPr>
        <w:b/>
        <w:noProof/>
        <w:szCs w:val="16"/>
        <w:lang w:val="fr-FR"/>
      </w:rPr>
      <w:t>2</w:t>
    </w:r>
    <w:r w:rsidR="00636B4C" w:rsidRPr="00774B00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D90" w:rsidRDefault="00BF7D90" w:rsidP="0090659A">
      <w:pPr>
        <w:spacing w:after="0" w:line="240" w:lineRule="auto"/>
      </w:pPr>
      <w:r>
        <w:separator/>
      </w:r>
    </w:p>
    <w:p w:rsidR="00BF7D90" w:rsidRDefault="00BF7D90"/>
    <w:p w:rsidR="00BF7D90" w:rsidRDefault="00BF7D90"/>
    <w:p w:rsidR="00BF7D90" w:rsidRDefault="00BF7D90"/>
    <w:p w:rsidR="00BF7D90" w:rsidRDefault="00BF7D90"/>
  </w:footnote>
  <w:footnote w:type="continuationSeparator" w:id="0">
    <w:p w:rsidR="00BF7D90" w:rsidRDefault="00BF7D90" w:rsidP="0090659A">
      <w:pPr>
        <w:spacing w:after="0" w:line="240" w:lineRule="auto"/>
      </w:pPr>
      <w:r>
        <w:continuationSeparator/>
      </w:r>
    </w:p>
    <w:p w:rsidR="00BF7D90" w:rsidRDefault="00BF7D90"/>
    <w:p w:rsidR="00BF7D90" w:rsidRDefault="00BF7D90"/>
    <w:p w:rsidR="00BF7D90" w:rsidRDefault="00BF7D90"/>
    <w:p w:rsidR="00BF7D90" w:rsidRDefault="00BF7D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1E" w:rsidRDefault="002A6B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Pr="00774B00" w:rsidRDefault="00DF2B9E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exercice d’intégration des compétences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Default="00500E7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5CC6"/>
    <w:rsid w:val="00090C07"/>
    <w:rsid w:val="00091366"/>
    <w:rsid w:val="00091E8D"/>
    <w:rsid w:val="0009227D"/>
    <w:rsid w:val="0009378D"/>
    <w:rsid w:val="00095A9C"/>
    <w:rsid w:val="000962EF"/>
    <w:rsid w:val="00097163"/>
    <w:rsid w:val="000A22C8"/>
    <w:rsid w:val="000B1924"/>
    <w:rsid w:val="000B2344"/>
    <w:rsid w:val="000B34C8"/>
    <w:rsid w:val="000B7DE5"/>
    <w:rsid w:val="000C3610"/>
    <w:rsid w:val="000C378A"/>
    <w:rsid w:val="000C7C14"/>
    <w:rsid w:val="000D1F76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2AC5"/>
    <w:rsid w:val="00112B06"/>
    <w:rsid w:val="001133DD"/>
    <w:rsid w:val="00120CBE"/>
    <w:rsid w:val="001269C4"/>
    <w:rsid w:val="0012734E"/>
    <w:rsid w:val="0013114E"/>
    <w:rsid w:val="00131342"/>
    <w:rsid w:val="00131D3C"/>
    <w:rsid w:val="001366EC"/>
    <w:rsid w:val="0014219C"/>
    <w:rsid w:val="001425ED"/>
    <w:rsid w:val="00154E3A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67D8"/>
    <w:rsid w:val="001B6F95"/>
    <w:rsid w:val="001C05A1"/>
    <w:rsid w:val="001C1B13"/>
    <w:rsid w:val="001C1D9E"/>
    <w:rsid w:val="001C2BC9"/>
    <w:rsid w:val="001C7C3B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34FA0"/>
    <w:rsid w:val="0024101B"/>
    <w:rsid w:val="00242E3A"/>
    <w:rsid w:val="002506CF"/>
    <w:rsid w:val="0025107F"/>
    <w:rsid w:val="00252D40"/>
    <w:rsid w:val="00257BE6"/>
    <w:rsid w:val="00260CD4"/>
    <w:rsid w:val="002639D8"/>
    <w:rsid w:val="00263FBC"/>
    <w:rsid w:val="00265F77"/>
    <w:rsid w:val="00266C83"/>
    <w:rsid w:val="0027287B"/>
    <w:rsid w:val="0027361A"/>
    <w:rsid w:val="002768DC"/>
    <w:rsid w:val="002778FC"/>
    <w:rsid w:val="0028146B"/>
    <w:rsid w:val="00283B34"/>
    <w:rsid w:val="00285D92"/>
    <w:rsid w:val="00287428"/>
    <w:rsid w:val="0029728F"/>
    <w:rsid w:val="002A6B1E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78D"/>
    <w:rsid w:val="002C6AD6"/>
    <w:rsid w:val="002D35A3"/>
    <w:rsid w:val="002D4B69"/>
    <w:rsid w:val="002D6C2A"/>
    <w:rsid w:val="002D7A86"/>
    <w:rsid w:val="002E5AB6"/>
    <w:rsid w:val="002F14F3"/>
    <w:rsid w:val="002F45FF"/>
    <w:rsid w:val="002F6D17"/>
    <w:rsid w:val="00302887"/>
    <w:rsid w:val="003056EB"/>
    <w:rsid w:val="003071FF"/>
    <w:rsid w:val="00307DD3"/>
    <w:rsid w:val="00310652"/>
    <w:rsid w:val="00312C12"/>
    <w:rsid w:val="0031371D"/>
    <w:rsid w:val="003158C9"/>
    <w:rsid w:val="0031789F"/>
    <w:rsid w:val="00320788"/>
    <w:rsid w:val="003233A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0CC8"/>
    <w:rsid w:val="00376C0D"/>
    <w:rsid w:val="0037777A"/>
    <w:rsid w:val="00380370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566D"/>
    <w:rsid w:val="003E3CB9"/>
    <w:rsid w:val="003E5BE5"/>
    <w:rsid w:val="003E66E1"/>
    <w:rsid w:val="003E7E56"/>
    <w:rsid w:val="003F0721"/>
    <w:rsid w:val="003F0A5F"/>
    <w:rsid w:val="003F0B1E"/>
    <w:rsid w:val="003F18D1"/>
    <w:rsid w:val="003F44FF"/>
    <w:rsid w:val="003F4F0E"/>
    <w:rsid w:val="003F6E06"/>
    <w:rsid w:val="004008F6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04CC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B6052"/>
    <w:rsid w:val="004C0909"/>
    <w:rsid w:val="004C3B68"/>
    <w:rsid w:val="004C3F97"/>
    <w:rsid w:val="004C59EA"/>
    <w:rsid w:val="004C6601"/>
    <w:rsid w:val="004C6D02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2366"/>
    <w:rsid w:val="004F344A"/>
    <w:rsid w:val="004F4F0C"/>
    <w:rsid w:val="005005E1"/>
    <w:rsid w:val="00500E7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2148"/>
    <w:rsid w:val="00536F43"/>
    <w:rsid w:val="005374FB"/>
    <w:rsid w:val="00537BAF"/>
    <w:rsid w:val="00543769"/>
    <w:rsid w:val="005438F9"/>
    <w:rsid w:val="005440F2"/>
    <w:rsid w:val="005447CE"/>
    <w:rsid w:val="005510BA"/>
    <w:rsid w:val="005526F9"/>
    <w:rsid w:val="0055399D"/>
    <w:rsid w:val="00554B4E"/>
    <w:rsid w:val="005565A7"/>
    <w:rsid w:val="00556BD5"/>
    <w:rsid w:val="00556C02"/>
    <w:rsid w:val="00556DF8"/>
    <w:rsid w:val="00563249"/>
    <w:rsid w:val="0056487B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6E62"/>
    <w:rsid w:val="005B02C6"/>
    <w:rsid w:val="005B1920"/>
    <w:rsid w:val="005B2C05"/>
    <w:rsid w:val="005B7178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29F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B4C"/>
    <w:rsid w:val="00636CFF"/>
    <w:rsid w:val="00637ED1"/>
    <w:rsid w:val="00637FCF"/>
    <w:rsid w:val="00640DED"/>
    <w:rsid w:val="006428E5"/>
    <w:rsid w:val="006448F4"/>
    <w:rsid w:val="00644958"/>
    <w:rsid w:val="0064506A"/>
    <w:rsid w:val="0065089E"/>
    <w:rsid w:val="00657393"/>
    <w:rsid w:val="00657CC5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0B33"/>
    <w:rsid w:val="007222AD"/>
    <w:rsid w:val="00726433"/>
    <w:rsid w:val="007267CF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B9B"/>
    <w:rsid w:val="00763D8B"/>
    <w:rsid w:val="007657F6"/>
    <w:rsid w:val="00766B4E"/>
    <w:rsid w:val="0077125A"/>
    <w:rsid w:val="007724EC"/>
    <w:rsid w:val="00774B00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A0C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27AD9"/>
    <w:rsid w:val="00830613"/>
    <w:rsid w:val="008313F3"/>
    <w:rsid w:val="00833611"/>
    <w:rsid w:val="008405BB"/>
    <w:rsid w:val="00842302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5F33"/>
    <w:rsid w:val="00877432"/>
    <w:rsid w:val="00877E20"/>
    <w:rsid w:val="008836A3"/>
    <w:rsid w:val="0088426A"/>
    <w:rsid w:val="00890108"/>
    <w:rsid w:val="00890A26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C22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08A7"/>
    <w:rsid w:val="008F14E2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4041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9DE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43B3"/>
    <w:rsid w:val="00AB49B9"/>
    <w:rsid w:val="00AB758A"/>
    <w:rsid w:val="00AC1E7E"/>
    <w:rsid w:val="00AC4D43"/>
    <w:rsid w:val="00AC507D"/>
    <w:rsid w:val="00AC54EF"/>
    <w:rsid w:val="00AC66E4"/>
    <w:rsid w:val="00AD4578"/>
    <w:rsid w:val="00AD68E9"/>
    <w:rsid w:val="00AE3BD6"/>
    <w:rsid w:val="00AE56C0"/>
    <w:rsid w:val="00AF0942"/>
    <w:rsid w:val="00B00914"/>
    <w:rsid w:val="00B02A8E"/>
    <w:rsid w:val="00B0498D"/>
    <w:rsid w:val="00B052EE"/>
    <w:rsid w:val="00B072F7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72BB"/>
    <w:rsid w:val="00B62809"/>
    <w:rsid w:val="00B66528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D1A98"/>
    <w:rsid w:val="00BD2A86"/>
    <w:rsid w:val="00BD5DA3"/>
    <w:rsid w:val="00BD6D76"/>
    <w:rsid w:val="00BE56B3"/>
    <w:rsid w:val="00BF04E8"/>
    <w:rsid w:val="00BF16BF"/>
    <w:rsid w:val="00BF33B2"/>
    <w:rsid w:val="00BF39C9"/>
    <w:rsid w:val="00BF4D1F"/>
    <w:rsid w:val="00BF7D90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2F72"/>
    <w:rsid w:val="00C90311"/>
    <w:rsid w:val="00C91C26"/>
    <w:rsid w:val="00C9207E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51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2915"/>
    <w:rsid w:val="00DC6050"/>
    <w:rsid w:val="00DE2B64"/>
    <w:rsid w:val="00DE2DFD"/>
    <w:rsid w:val="00DE6F44"/>
    <w:rsid w:val="00DF2B9E"/>
    <w:rsid w:val="00DF45C1"/>
    <w:rsid w:val="00DF7C1C"/>
    <w:rsid w:val="00E037D9"/>
    <w:rsid w:val="00E03FB8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3432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B001B"/>
    <w:rsid w:val="00EB07E1"/>
    <w:rsid w:val="00EB24A9"/>
    <w:rsid w:val="00EB60AE"/>
    <w:rsid w:val="00EB69ED"/>
    <w:rsid w:val="00EB6C33"/>
    <w:rsid w:val="00EC40ED"/>
    <w:rsid w:val="00EC592D"/>
    <w:rsid w:val="00EC6B93"/>
    <w:rsid w:val="00ED0EB0"/>
    <w:rsid w:val="00ED13C0"/>
    <w:rsid w:val="00ED6019"/>
    <w:rsid w:val="00ED7830"/>
    <w:rsid w:val="00EE18CD"/>
    <w:rsid w:val="00EE3909"/>
    <w:rsid w:val="00EE6CB9"/>
    <w:rsid w:val="00EF25F7"/>
    <w:rsid w:val="00EF4205"/>
    <w:rsid w:val="00EF5939"/>
    <w:rsid w:val="00F01714"/>
    <w:rsid w:val="00F0258F"/>
    <w:rsid w:val="00F028CB"/>
    <w:rsid w:val="00F02D06"/>
    <w:rsid w:val="00F06FDD"/>
    <w:rsid w:val="00F10819"/>
    <w:rsid w:val="00F10CC1"/>
    <w:rsid w:val="00F11E57"/>
    <w:rsid w:val="00F16B46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21C"/>
    <w:rsid w:val="00FF0400"/>
    <w:rsid w:val="00FF2663"/>
    <w:rsid w:val="00FF26CA"/>
    <w:rsid w:val="00FF30E1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E7C861A-18B0-487E-B508-93DFFCD22C5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2BBDF6C1-4DB2-45CA-8DBB-11AF1DBE414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Windows User</cp:lastModifiedBy>
  <cp:revision>11</cp:revision>
  <dcterms:created xsi:type="dcterms:W3CDTF">2013-03-20T20:17:00Z</dcterms:created>
  <dcterms:modified xsi:type="dcterms:W3CDTF">2013-12-23T08:41:00Z</dcterms:modified>
</cp:coreProperties>
</file>