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0B7712" w:rsidRDefault="00E8551F" w:rsidP="00FD4A68">
      <w:pPr>
        <w:pStyle w:val="LabTitle"/>
        <w:rPr>
          <w:rStyle w:val="LabTitleInstVersred"/>
          <w:b/>
          <w:noProof/>
          <w:color w:val="000000"/>
          <w:lang w:val="fr-FR"/>
        </w:rPr>
      </w:pPr>
      <w:bookmarkStart w:id="0" w:name="_GoBack"/>
      <w:r w:rsidRPr="000B7712">
        <w:rPr>
          <w:noProof/>
          <w:lang w:val="fr-FR"/>
        </w:rPr>
        <w:t>Packet Tracer : mettre en œuvre un schéma d’adressage IPv6 divisé en sous-réseaux</w:t>
      </w:r>
    </w:p>
    <w:p w:rsidR="003C6BCA" w:rsidRPr="000B7712" w:rsidRDefault="00695406" w:rsidP="0014219C">
      <w:pPr>
        <w:pStyle w:val="LabSection"/>
        <w:rPr>
          <w:noProof/>
          <w:lang w:val="fr-FR"/>
        </w:rPr>
      </w:pPr>
      <w:r w:rsidRPr="000B7712">
        <w:rPr>
          <w:noProof/>
          <w:lang w:val="fr-FR"/>
        </w:rPr>
        <w:t>Topologie</w:t>
      </w:r>
    </w:p>
    <w:p w:rsidR="00B95EA8" w:rsidRPr="000B7712" w:rsidRDefault="00695406" w:rsidP="00B95EA8">
      <w:pPr>
        <w:pStyle w:val="BodyText1"/>
        <w:jc w:val="center"/>
        <w:rPr>
          <w:noProof/>
          <w:lang w:val="fr-FR"/>
        </w:rPr>
      </w:pPr>
      <w:r w:rsidRPr="000B7712">
        <w:rPr>
          <w:noProof/>
          <w:lang w:val="en-US"/>
        </w:rPr>
        <w:drawing>
          <wp:inline distT="0" distB="0" distL="0" distR="0">
            <wp:extent cx="4524375" cy="2847975"/>
            <wp:effectExtent l="1905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FF6" w:rsidRPr="000B7712" w:rsidRDefault="00695406" w:rsidP="00421FF6">
      <w:pPr>
        <w:pStyle w:val="LabSection"/>
        <w:rPr>
          <w:noProof/>
          <w:lang w:val="fr-FR"/>
        </w:rPr>
      </w:pPr>
      <w:r w:rsidRPr="000B7712">
        <w:rPr>
          <w:noProof/>
          <w:lang w:val="fr-FR"/>
        </w:rPr>
        <w:t>Table d</w:t>
      </w:r>
      <w:r w:rsidR="00E63D21" w:rsidRPr="000B7712">
        <w:rPr>
          <w:noProof/>
          <w:lang w:val="fr-FR"/>
        </w:rPr>
        <w:t>’</w:t>
      </w:r>
      <w:r w:rsidRPr="000B7712">
        <w:rPr>
          <w:noProof/>
          <w:lang w:val="fr-FR"/>
        </w:rPr>
        <w:t>adressage</w:t>
      </w:r>
    </w:p>
    <w:tbl>
      <w:tblPr>
        <w:tblW w:w="75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53"/>
        <w:gridCol w:w="1682"/>
        <w:gridCol w:w="2687"/>
        <w:gridCol w:w="1755"/>
      </w:tblGrid>
      <w:tr w:rsidR="00DC1827" w:rsidRPr="000B7712" w:rsidTr="00411B83">
        <w:trPr>
          <w:cantSplit/>
          <w:jc w:val="center"/>
        </w:trPr>
        <w:tc>
          <w:tcPr>
            <w:tcW w:w="1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0B7712" w:rsidRDefault="00695406" w:rsidP="00C6008C">
            <w:pPr>
              <w:pStyle w:val="TableHeading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Périphérique</w:t>
            </w:r>
          </w:p>
        </w:tc>
        <w:tc>
          <w:tcPr>
            <w:tcW w:w="1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0B7712" w:rsidRDefault="00695406" w:rsidP="00C6008C">
            <w:pPr>
              <w:pStyle w:val="TableHeading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Interface</w:t>
            </w:r>
          </w:p>
        </w:tc>
        <w:tc>
          <w:tcPr>
            <w:tcW w:w="2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0B7712" w:rsidRDefault="00695406" w:rsidP="00C6008C">
            <w:pPr>
              <w:pStyle w:val="TableHeading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Adresse IPv6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DC1827" w:rsidRPr="000B7712" w:rsidRDefault="00695406" w:rsidP="00C6008C">
            <w:pPr>
              <w:pStyle w:val="TableHeading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Link-local</w:t>
            </w:r>
          </w:p>
        </w:tc>
      </w:tr>
      <w:tr w:rsidR="00DC1827" w:rsidRPr="000B7712" w:rsidTr="00411B83">
        <w:trPr>
          <w:cantSplit/>
          <w:jc w:val="center"/>
        </w:trPr>
        <w:tc>
          <w:tcPr>
            <w:tcW w:w="1453" w:type="dxa"/>
            <w:vMerge w:val="restart"/>
            <w:vAlign w:val="center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R1</w:t>
            </w:r>
          </w:p>
        </w:tc>
        <w:tc>
          <w:tcPr>
            <w:tcW w:w="1682" w:type="dxa"/>
            <w:vAlign w:val="center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G0/0</w:t>
            </w:r>
          </w:p>
        </w:tc>
        <w:tc>
          <w:tcPr>
            <w:tcW w:w="2687" w:type="dxa"/>
            <w:vAlign w:val="center"/>
          </w:tcPr>
          <w:p w:rsidR="00DC1827" w:rsidRPr="000B7712" w:rsidRDefault="00F16F92" w:rsidP="00DC1827">
            <w:pPr>
              <w:pStyle w:val="TableText"/>
              <w:rPr>
                <w:rStyle w:val="AnswerGray"/>
                <w:rFonts w:eastAsiaTheme="minorEastAsia"/>
                <w:noProof/>
                <w:shd w:val="clear" w:color="auto" w:fill="BFBFBF"/>
                <w:lang w:val="fr-FR"/>
              </w:rPr>
            </w:pPr>
          </w:p>
        </w:tc>
        <w:tc>
          <w:tcPr>
            <w:tcW w:w="1755" w:type="dxa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FE80::1</w:t>
            </w:r>
          </w:p>
        </w:tc>
      </w:tr>
      <w:tr w:rsidR="00DC1827" w:rsidRPr="000B7712" w:rsidTr="00411B83">
        <w:trPr>
          <w:cantSplit/>
          <w:jc w:val="center"/>
        </w:trPr>
        <w:tc>
          <w:tcPr>
            <w:tcW w:w="1453" w:type="dxa"/>
            <w:vMerge/>
            <w:vAlign w:val="center"/>
          </w:tcPr>
          <w:p w:rsidR="00DC1827" w:rsidRPr="000B7712" w:rsidRDefault="00F16F92" w:rsidP="00DC182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682" w:type="dxa"/>
            <w:vAlign w:val="center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G0/1</w:t>
            </w:r>
          </w:p>
        </w:tc>
        <w:tc>
          <w:tcPr>
            <w:tcW w:w="2687" w:type="dxa"/>
            <w:vAlign w:val="center"/>
          </w:tcPr>
          <w:p w:rsidR="00DC1827" w:rsidRPr="000B7712" w:rsidRDefault="00F16F92" w:rsidP="00DC1827">
            <w:pPr>
              <w:pStyle w:val="TableText"/>
              <w:rPr>
                <w:rStyle w:val="AnswerGray"/>
                <w:rFonts w:eastAsiaTheme="minorEastAsia"/>
                <w:noProof/>
                <w:shd w:val="clear" w:color="auto" w:fill="BFBFBF"/>
                <w:lang w:val="fr-FR"/>
              </w:rPr>
            </w:pPr>
          </w:p>
        </w:tc>
        <w:tc>
          <w:tcPr>
            <w:tcW w:w="1755" w:type="dxa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FE80::1</w:t>
            </w:r>
          </w:p>
        </w:tc>
      </w:tr>
      <w:tr w:rsidR="00DC1827" w:rsidRPr="000B7712" w:rsidTr="00411B83">
        <w:trPr>
          <w:cantSplit/>
          <w:jc w:val="center"/>
        </w:trPr>
        <w:tc>
          <w:tcPr>
            <w:tcW w:w="1453" w:type="dxa"/>
            <w:vMerge/>
            <w:vAlign w:val="center"/>
          </w:tcPr>
          <w:p w:rsidR="00DC1827" w:rsidRPr="000B7712" w:rsidRDefault="00F16F92" w:rsidP="00DC182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682" w:type="dxa"/>
            <w:vAlign w:val="center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S0/0/0</w:t>
            </w:r>
          </w:p>
        </w:tc>
        <w:tc>
          <w:tcPr>
            <w:tcW w:w="2687" w:type="dxa"/>
            <w:vAlign w:val="center"/>
          </w:tcPr>
          <w:p w:rsidR="00DC1827" w:rsidRPr="000B7712" w:rsidRDefault="00F16F92" w:rsidP="00DC1827">
            <w:pPr>
              <w:pStyle w:val="TableText"/>
              <w:rPr>
                <w:rStyle w:val="AnswerGray"/>
                <w:rFonts w:eastAsiaTheme="minorEastAsia"/>
                <w:noProof/>
                <w:shd w:val="clear" w:color="auto" w:fill="BFBFBF"/>
                <w:lang w:val="fr-FR"/>
              </w:rPr>
            </w:pPr>
          </w:p>
        </w:tc>
        <w:tc>
          <w:tcPr>
            <w:tcW w:w="1755" w:type="dxa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FE80::1</w:t>
            </w:r>
          </w:p>
        </w:tc>
      </w:tr>
      <w:tr w:rsidR="00DC1827" w:rsidRPr="000B7712" w:rsidTr="00411B83">
        <w:trPr>
          <w:cantSplit/>
          <w:jc w:val="center"/>
        </w:trPr>
        <w:tc>
          <w:tcPr>
            <w:tcW w:w="1453" w:type="dxa"/>
            <w:vMerge w:val="restart"/>
            <w:vAlign w:val="center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R2</w:t>
            </w:r>
          </w:p>
        </w:tc>
        <w:tc>
          <w:tcPr>
            <w:tcW w:w="1682" w:type="dxa"/>
            <w:vAlign w:val="center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G0/0</w:t>
            </w:r>
          </w:p>
        </w:tc>
        <w:tc>
          <w:tcPr>
            <w:tcW w:w="2687" w:type="dxa"/>
            <w:vAlign w:val="center"/>
          </w:tcPr>
          <w:p w:rsidR="00DC1827" w:rsidRPr="000B7712" w:rsidRDefault="00F16F92" w:rsidP="00DC1827">
            <w:pPr>
              <w:pStyle w:val="TableText"/>
              <w:rPr>
                <w:rStyle w:val="AnswerGray"/>
                <w:rFonts w:eastAsiaTheme="minorEastAsia"/>
                <w:noProof/>
                <w:shd w:val="clear" w:color="auto" w:fill="BFBFBF"/>
                <w:lang w:val="fr-FR"/>
              </w:rPr>
            </w:pPr>
          </w:p>
        </w:tc>
        <w:tc>
          <w:tcPr>
            <w:tcW w:w="1755" w:type="dxa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FE80::2</w:t>
            </w:r>
          </w:p>
        </w:tc>
      </w:tr>
      <w:tr w:rsidR="00DC1827" w:rsidRPr="000B7712" w:rsidTr="00411B83">
        <w:trPr>
          <w:cantSplit/>
          <w:jc w:val="center"/>
        </w:trPr>
        <w:tc>
          <w:tcPr>
            <w:tcW w:w="1453" w:type="dxa"/>
            <w:vMerge/>
            <w:vAlign w:val="center"/>
          </w:tcPr>
          <w:p w:rsidR="00DC1827" w:rsidRPr="000B7712" w:rsidRDefault="00F16F92" w:rsidP="00DC182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682" w:type="dxa"/>
            <w:vAlign w:val="center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G0/1</w:t>
            </w:r>
          </w:p>
        </w:tc>
        <w:tc>
          <w:tcPr>
            <w:tcW w:w="2687" w:type="dxa"/>
            <w:vAlign w:val="center"/>
          </w:tcPr>
          <w:p w:rsidR="00DC1827" w:rsidRPr="000B7712" w:rsidRDefault="00F16F92" w:rsidP="00DC1827">
            <w:pPr>
              <w:pStyle w:val="TableText"/>
              <w:rPr>
                <w:rStyle w:val="AnswerGray"/>
                <w:rFonts w:eastAsiaTheme="minorEastAsia"/>
                <w:noProof/>
                <w:shd w:val="clear" w:color="auto" w:fill="BFBFBF"/>
                <w:lang w:val="fr-FR"/>
              </w:rPr>
            </w:pPr>
          </w:p>
        </w:tc>
        <w:tc>
          <w:tcPr>
            <w:tcW w:w="1755" w:type="dxa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FE80::2</w:t>
            </w:r>
          </w:p>
        </w:tc>
      </w:tr>
      <w:tr w:rsidR="00DC1827" w:rsidRPr="000B7712" w:rsidTr="00411B83">
        <w:trPr>
          <w:cantSplit/>
          <w:jc w:val="center"/>
        </w:trPr>
        <w:tc>
          <w:tcPr>
            <w:tcW w:w="1453" w:type="dxa"/>
            <w:vMerge/>
            <w:vAlign w:val="center"/>
          </w:tcPr>
          <w:p w:rsidR="00DC1827" w:rsidRPr="000B7712" w:rsidRDefault="00F16F92" w:rsidP="00DC182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682" w:type="dxa"/>
            <w:vAlign w:val="center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S0/0/0</w:t>
            </w:r>
          </w:p>
        </w:tc>
        <w:tc>
          <w:tcPr>
            <w:tcW w:w="2687" w:type="dxa"/>
            <w:vAlign w:val="center"/>
          </w:tcPr>
          <w:p w:rsidR="00DC1827" w:rsidRPr="000B7712" w:rsidRDefault="00F16F92" w:rsidP="00DC1827">
            <w:pPr>
              <w:pStyle w:val="TableText"/>
              <w:rPr>
                <w:rStyle w:val="AnswerGray"/>
                <w:rFonts w:eastAsiaTheme="minorEastAsia"/>
                <w:noProof/>
                <w:shd w:val="clear" w:color="auto" w:fill="BFBFBF"/>
                <w:lang w:val="fr-FR"/>
              </w:rPr>
            </w:pPr>
          </w:p>
        </w:tc>
        <w:tc>
          <w:tcPr>
            <w:tcW w:w="1755" w:type="dxa"/>
          </w:tcPr>
          <w:p w:rsidR="00DC1827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FE80::2</w:t>
            </w:r>
          </w:p>
        </w:tc>
      </w:tr>
      <w:tr w:rsidR="00B95EA8" w:rsidRPr="000B7712" w:rsidTr="00411B83">
        <w:trPr>
          <w:cantSplit/>
          <w:jc w:val="center"/>
        </w:trPr>
        <w:tc>
          <w:tcPr>
            <w:tcW w:w="1453" w:type="dxa"/>
            <w:vAlign w:val="center"/>
          </w:tcPr>
          <w:p w:rsidR="00B95EA8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PC1</w:t>
            </w:r>
          </w:p>
        </w:tc>
        <w:tc>
          <w:tcPr>
            <w:tcW w:w="1682" w:type="dxa"/>
            <w:vAlign w:val="center"/>
          </w:tcPr>
          <w:p w:rsidR="00B95EA8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Carte réseau</w:t>
            </w:r>
          </w:p>
        </w:tc>
        <w:tc>
          <w:tcPr>
            <w:tcW w:w="4442" w:type="dxa"/>
            <w:gridSpan w:val="2"/>
            <w:vAlign w:val="center"/>
          </w:tcPr>
          <w:p w:rsidR="00B95EA8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Configuration automatique</w:t>
            </w:r>
          </w:p>
        </w:tc>
      </w:tr>
      <w:tr w:rsidR="00B95EA8" w:rsidRPr="000B7712" w:rsidTr="00411B83">
        <w:trPr>
          <w:cantSplit/>
          <w:jc w:val="center"/>
        </w:trPr>
        <w:tc>
          <w:tcPr>
            <w:tcW w:w="1453" w:type="dxa"/>
            <w:vAlign w:val="center"/>
          </w:tcPr>
          <w:p w:rsidR="00B95EA8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PC2</w:t>
            </w:r>
          </w:p>
        </w:tc>
        <w:tc>
          <w:tcPr>
            <w:tcW w:w="1682" w:type="dxa"/>
            <w:vAlign w:val="center"/>
          </w:tcPr>
          <w:p w:rsidR="00B95EA8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Carte réseau</w:t>
            </w:r>
          </w:p>
        </w:tc>
        <w:tc>
          <w:tcPr>
            <w:tcW w:w="4442" w:type="dxa"/>
            <w:gridSpan w:val="2"/>
            <w:vAlign w:val="center"/>
          </w:tcPr>
          <w:p w:rsidR="00B95EA8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Configuration automatique</w:t>
            </w:r>
          </w:p>
        </w:tc>
      </w:tr>
      <w:tr w:rsidR="00B95EA8" w:rsidRPr="000B7712" w:rsidTr="00411B83">
        <w:trPr>
          <w:cantSplit/>
          <w:jc w:val="center"/>
        </w:trPr>
        <w:tc>
          <w:tcPr>
            <w:tcW w:w="1453" w:type="dxa"/>
            <w:vAlign w:val="center"/>
          </w:tcPr>
          <w:p w:rsidR="00B95EA8" w:rsidRPr="000B7712" w:rsidRDefault="00695406" w:rsidP="00C6008C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PC3</w:t>
            </w:r>
          </w:p>
        </w:tc>
        <w:tc>
          <w:tcPr>
            <w:tcW w:w="1682" w:type="dxa"/>
            <w:vAlign w:val="center"/>
          </w:tcPr>
          <w:p w:rsidR="00B95EA8" w:rsidRPr="000B7712" w:rsidRDefault="00695406" w:rsidP="00C6008C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Carte réseau</w:t>
            </w:r>
          </w:p>
        </w:tc>
        <w:tc>
          <w:tcPr>
            <w:tcW w:w="4442" w:type="dxa"/>
            <w:gridSpan w:val="2"/>
            <w:vAlign w:val="center"/>
          </w:tcPr>
          <w:p w:rsidR="00B95EA8" w:rsidRPr="000B7712" w:rsidRDefault="00695406" w:rsidP="00C6008C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Configuration automatique</w:t>
            </w:r>
          </w:p>
        </w:tc>
      </w:tr>
      <w:tr w:rsidR="00B95EA8" w:rsidRPr="000B7712" w:rsidTr="00411B83">
        <w:trPr>
          <w:cantSplit/>
          <w:jc w:val="center"/>
        </w:trPr>
        <w:tc>
          <w:tcPr>
            <w:tcW w:w="1453" w:type="dxa"/>
            <w:vAlign w:val="center"/>
          </w:tcPr>
          <w:p w:rsidR="00B95EA8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PC4</w:t>
            </w:r>
          </w:p>
        </w:tc>
        <w:tc>
          <w:tcPr>
            <w:tcW w:w="1682" w:type="dxa"/>
            <w:vAlign w:val="center"/>
          </w:tcPr>
          <w:p w:rsidR="00B95EA8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Carte réseau</w:t>
            </w:r>
          </w:p>
        </w:tc>
        <w:tc>
          <w:tcPr>
            <w:tcW w:w="4442" w:type="dxa"/>
            <w:gridSpan w:val="2"/>
            <w:vAlign w:val="center"/>
          </w:tcPr>
          <w:p w:rsidR="00B95EA8" w:rsidRPr="000B7712" w:rsidRDefault="00695406" w:rsidP="00DC18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Configuration automatique</w:t>
            </w:r>
          </w:p>
        </w:tc>
      </w:tr>
    </w:tbl>
    <w:p w:rsidR="009D2C27" w:rsidRPr="000B7712" w:rsidRDefault="00695406" w:rsidP="0014219C">
      <w:pPr>
        <w:pStyle w:val="LabSection"/>
        <w:rPr>
          <w:noProof/>
          <w:lang w:val="fr-FR"/>
        </w:rPr>
      </w:pPr>
      <w:r w:rsidRPr="000B7712">
        <w:rPr>
          <w:noProof/>
          <w:lang w:val="fr-FR"/>
        </w:rPr>
        <w:t>Objectifs</w:t>
      </w:r>
    </w:p>
    <w:p w:rsidR="00554B4E" w:rsidRPr="000B7712" w:rsidRDefault="00411B83" w:rsidP="00963E34">
      <w:pPr>
        <w:pStyle w:val="BodyTextL25Bold"/>
        <w:rPr>
          <w:noProof/>
          <w:lang w:val="fr-FR"/>
        </w:rPr>
      </w:pPr>
      <w:r w:rsidRPr="000B7712">
        <w:rPr>
          <w:noProof/>
          <w:lang w:val="fr-FR"/>
        </w:rPr>
        <w:t xml:space="preserve">1re partie : </w:t>
      </w:r>
      <w:r w:rsidR="00695406" w:rsidRPr="000B7712">
        <w:rPr>
          <w:noProof/>
          <w:lang w:val="fr-FR"/>
        </w:rPr>
        <w:t>Déterminer les sous-réseaux IPv6 et le schéma d</w:t>
      </w:r>
      <w:r w:rsidR="00E63D21" w:rsidRPr="000B7712">
        <w:rPr>
          <w:noProof/>
          <w:lang w:val="fr-FR"/>
        </w:rPr>
        <w:t>’</w:t>
      </w:r>
      <w:r w:rsidR="00695406" w:rsidRPr="000B7712">
        <w:rPr>
          <w:noProof/>
          <w:lang w:val="fr-FR"/>
        </w:rPr>
        <w:t>adressage</w:t>
      </w:r>
    </w:p>
    <w:p w:rsidR="0020275E" w:rsidRPr="000B7712" w:rsidRDefault="00411B83" w:rsidP="0020275E">
      <w:pPr>
        <w:pStyle w:val="BodyTextL25Bold"/>
        <w:rPr>
          <w:noProof/>
          <w:lang w:val="fr-FR"/>
        </w:rPr>
      </w:pPr>
      <w:r w:rsidRPr="000B7712">
        <w:rPr>
          <w:noProof/>
          <w:lang w:val="fr-FR"/>
        </w:rPr>
        <w:t xml:space="preserve">2e partie : </w:t>
      </w:r>
      <w:r w:rsidR="00695406" w:rsidRPr="000B7712">
        <w:rPr>
          <w:noProof/>
          <w:lang w:val="fr-FR"/>
        </w:rPr>
        <w:t>Configurer l</w:t>
      </w:r>
      <w:r w:rsidR="00E63D21" w:rsidRPr="000B7712">
        <w:rPr>
          <w:noProof/>
          <w:lang w:val="fr-FR"/>
        </w:rPr>
        <w:t>’</w:t>
      </w:r>
      <w:r w:rsidR="00695406" w:rsidRPr="000B7712">
        <w:rPr>
          <w:noProof/>
          <w:lang w:val="fr-FR"/>
        </w:rPr>
        <w:t>adressage IPv6 sur les routeurs et les ordinateurs, et vérifier la connectivité</w:t>
      </w:r>
    </w:p>
    <w:p w:rsidR="00C07FD9" w:rsidRPr="000B7712" w:rsidRDefault="00695406" w:rsidP="0014219C">
      <w:pPr>
        <w:pStyle w:val="LabSection"/>
        <w:rPr>
          <w:noProof/>
          <w:lang w:val="fr-FR"/>
        </w:rPr>
      </w:pPr>
      <w:r w:rsidRPr="000B7712">
        <w:rPr>
          <w:noProof/>
          <w:lang w:val="fr-FR"/>
        </w:rPr>
        <w:lastRenderedPageBreak/>
        <w:t>Scénario</w:t>
      </w:r>
    </w:p>
    <w:p w:rsidR="00A96B65" w:rsidRPr="000B7712" w:rsidRDefault="00695406" w:rsidP="00F64F61">
      <w:pPr>
        <w:pStyle w:val="BodyTextL25"/>
        <w:rPr>
          <w:noProof/>
          <w:lang w:val="fr-FR"/>
        </w:rPr>
      </w:pPr>
      <w:r w:rsidRPr="000B7712">
        <w:rPr>
          <w:noProof/>
          <w:lang w:val="fr-FR"/>
        </w:rPr>
        <w:t>Votre administrateur réseau vous demande d</w:t>
      </w:r>
      <w:r w:rsidR="00E63D21" w:rsidRPr="000B7712">
        <w:rPr>
          <w:noProof/>
          <w:lang w:val="fr-FR"/>
        </w:rPr>
        <w:t>’</w:t>
      </w:r>
      <w:r w:rsidRPr="000B7712">
        <w:rPr>
          <w:noProof/>
          <w:lang w:val="fr-FR"/>
        </w:rPr>
        <w:t>attribuer cinq sous-réseaux IPv6 /64 au réseau représenté dans la topologie. Votre travail consiste à déterminer les sous-réseaux IPv6, à attribuer les adresses IPv6 aux routeurs et à configurer les ordinateurs de sorte qu</w:t>
      </w:r>
      <w:r w:rsidR="00E63D21" w:rsidRPr="000B7712">
        <w:rPr>
          <w:noProof/>
          <w:lang w:val="fr-FR"/>
        </w:rPr>
        <w:t>’</w:t>
      </w:r>
      <w:r w:rsidRPr="000B7712">
        <w:rPr>
          <w:noProof/>
          <w:lang w:val="fr-FR"/>
        </w:rPr>
        <w:t>ils reçoivent automatiquement les adresses IPv6. La dernière étape consiste à vérifier la connectivité entre les hôtes IPv6.</w:t>
      </w:r>
    </w:p>
    <w:p w:rsidR="00112AC5" w:rsidRPr="000B7712" w:rsidRDefault="00803AC8" w:rsidP="00803AC8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0B7712">
        <w:rPr>
          <w:noProof/>
          <w:lang w:val="fr-FR"/>
        </w:rPr>
        <w:t xml:space="preserve">1re partie : </w:t>
      </w:r>
      <w:r w:rsidR="00695406" w:rsidRPr="000B7712">
        <w:rPr>
          <w:noProof/>
          <w:lang w:val="fr-FR"/>
        </w:rPr>
        <w:t>Déterminer les sous-réseaux IPv6 et le schéma d</w:t>
      </w:r>
      <w:r w:rsidR="00E63D21" w:rsidRPr="000B7712">
        <w:rPr>
          <w:noProof/>
          <w:lang w:val="fr-FR"/>
        </w:rPr>
        <w:t>’</w:t>
      </w:r>
      <w:r w:rsidR="00695406" w:rsidRPr="000B7712">
        <w:rPr>
          <w:noProof/>
          <w:lang w:val="fr-FR"/>
        </w:rPr>
        <w:t>adressage</w:t>
      </w:r>
    </w:p>
    <w:p w:rsidR="00112AC5" w:rsidRPr="000B7712" w:rsidRDefault="00695406" w:rsidP="008301AD">
      <w:pPr>
        <w:pStyle w:val="StepHead"/>
        <w:ind w:left="1002" w:hanging="1002"/>
        <w:rPr>
          <w:noProof/>
          <w:lang w:val="fr-FR"/>
        </w:rPr>
      </w:pPr>
      <w:r w:rsidRPr="000B7712">
        <w:rPr>
          <w:noProof/>
          <w:lang w:val="fr-FR"/>
        </w:rPr>
        <w:t xml:space="preserve">Déterminer le nombre de sous-réseaux nécessaires </w:t>
      </w:r>
    </w:p>
    <w:p w:rsidR="00112AC5" w:rsidRPr="000B7712" w:rsidRDefault="00695406" w:rsidP="007564B2">
      <w:pPr>
        <w:pStyle w:val="BodyTextL25"/>
        <w:rPr>
          <w:noProof/>
          <w:lang w:val="fr-FR"/>
        </w:rPr>
      </w:pPr>
      <w:r w:rsidRPr="000B7712">
        <w:rPr>
          <w:noProof/>
          <w:lang w:val="fr-FR"/>
        </w:rPr>
        <w:t>Commencez par le sous-réseau IPv6 2001:DB:ACAD:00C8::/64 et attribuez-le au LAN R1 relié à</w:t>
      </w:r>
      <w:r w:rsidR="000B7712" w:rsidRPr="000B7712">
        <w:rPr>
          <w:noProof/>
          <w:lang w:val="fr-FR"/>
        </w:rPr>
        <w:t> </w:t>
      </w:r>
      <w:r w:rsidRPr="000B7712">
        <w:rPr>
          <w:noProof/>
          <w:lang w:val="fr-FR"/>
        </w:rPr>
        <w:t xml:space="preserve">GigabitEthernet 0/0, comme indiqué dans la </w:t>
      </w:r>
      <w:r w:rsidRPr="000B7712">
        <w:rPr>
          <w:b/>
          <w:noProof/>
          <w:lang w:val="fr-FR"/>
        </w:rPr>
        <w:t>table des sous-réseaux</w:t>
      </w:r>
      <w:r w:rsidRPr="000B7712">
        <w:rPr>
          <w:noProof/>
          <w:lang w:val="fr-FR"/>
        </w:rPr>
        <w:t>. Pour les autres sous-réseaux IPv6, incrémentez l</w:t>
      </w:r>
      <w:r w:rsidR="00E63D21" w:rsidRPr="000B7712">
        <w:rPr>
          <w:noProof/>
          <w:lang w:val="fr-FR"/>
        </w:rPr>
        <w:t>’</w:t>
      </w:r>
      <w:r w:rsidRPr="000B7712">
        <w:rPr>
          <w:noProof/>
          <w:lang w:val="fr-FR"/>
        </w:rPr>
        <w:t xml:space="preserve">adresse de sous-réseau 2001:DB:ACAD:00C8::/64 de 1 et complétez la </w:t>
      </w:r>
      <w:r w:rsidRPr="000B7712">
        <w:rPr>
          <w:b/>
          <w:noProof/>
          <w:lang w:val="fr-FR"/>
        </w:rPr>
        <w:t>table des sous-réseaux</w:t>
      </w:r>
      <w:r w:rsidRPr="000B7712">
        <w:rPr>
          <w:noProof/>
          <w:lang w:val="fr-FR"/>
        </w:rPr>
        <w:t xml:space="preserve"> à l</w:t>
      </w:r>
      <w:r w:rsidR="00E63D21" w:rsidRPr="000B7712">
        <w:rPr>
          <w:noProof/>
          <w:lang w:val="fr-FR"/>
        </w:rPr>
        <w:t>’</w:t>
      </w:r>
      <w:r w:rsidRPr="000B7712">
        <w:rPr>
          <w:noProof/>
          <w:lang w:val="fr-FR"/>
        </w:rPr>
        <w:t>aide des adresses de sous-réseau IPv6.</w:t>
      </w:r>
    </w:p>
    <w:p w:rsidR="007564B2" w:rsidRPr="000B7712" w:rsidRDefault="00695406" w:rsidP="007564B2">
      <w:pPr>
        <w:pStyle w:val="LabSection"/>
        <w:rPr>
          <w:noProof/>
          <w:lang w:val="fr-FR"/>
        </w:rPr>
      </w:pPr>
      <w:r w:rsidRPr="000B7712">
        <w:rPr>
          <w:noProof/>
          <w:lang w:val="fr-FR"/>
        </w:rPr>
        <w:t>Table des sous-réseaux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171"/>
        <w:gridCol w:w="2970"/>
      </w:tblGrid>
      <w:tr w:rsidR="007564B2" w:rsidRPr="000B7712" w:rsidTr="008301AD">
        <w:trPr>
          <w:cantSplit/>
          <w:jc w:val="center"/>
        </w:trPr>
        <w:tc>
          <w:tcPr>
            <w:tcW w:w="3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4B2" w:rsidRPr="000B7712" w:rsidRDefault="00695406" w:rsidP="007564B2">
            <w:pPr>
              <w:pStyle w:val="TableHeading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Description du sous-réseau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4B2" w:rsidRPr="000B7712" w:rsidRDefault="00695406" w:rsidP="007564B2">
            <w:pPr>
              <w:pStyle w:val="TableHeading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Adresse de sous-réseau</w:t>
            </w:r>
          </w:p>
        </w:tc>
      </w:tr>
      <w:tr w:rsidR="007564B2" w:rsidRPr="000B7712" w:rsidTr="008301AD">
        <w:trPr>
          <w:cantSplit/>
          <w:jc w:val="center"/>
        </w:trPr>
        <w:tc>
          <w:tcPr>
            <w:tcW w:w="3171" w:type="dxa"/>
            <w:vAlign w:val="bottom"/>
          </w:tcPr>
          <w:p w:rsidR="007564B2" w:rsidRPr="000B7712" w:rsidRDefault="00695406" w:rsidP="007564B2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R1 G0/0 LAN</w:t>
            </w:r>
          </w:p>
        </w:tc>
        <w:tc>
          <w:tcPr>
            <w:tcW w:w="2970" w:type="dxa"/>
            <w:vAlign w:val="center"/>
          </w:tcPr>
          <w:p w:rsidR="007564B2" w:rsidRPr="000B7712" w:rsidRDefault="00695406" w:rsidP="007564B2">
            <w:pPr>
              <w:pStyle w:val="TableText"/>
              <w:rPr>
                <w:noProof/>
                <w:highlight w:val="lightGray"/>
                <w:lang w:val="fr-FR"/>
              </w:rPr>
            </w:pPr>
            <w:r w:rsidRPr="000B7712">
              <w:rPr>
                <w:noProof/>
                <w:lang w:val="fr-FR"/>
              </w:rPr>
              <w:t>2001:DB:ACAD:00C8::0/64</w:t>
            </w:r>
          </w:p>
        </w:tc>
      </w:tr>
      <w:tr w:rsidR="007564B2" w:rsidRPr="000B7712" w:rsidTr="008301AD">
        <w:trPr>
          <w:cantSplit/>
          <w:jc w:val="center"/>
        </w:trPr>
        <w:tc>
          <w:tcPr>
            <w:tcW w:w="3171" w:type="dxa"/>
            <w:vAlign w:val="bottom"/>
          </w:tcPr>
          <w:p w:rsidR="007564B2" w:rsidRPr="000B7712" w:rsidRDefault="00695406" w:rsidP="007564B2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R1 G0/1 LAN</w:t>
            </w:r>
          </w:p>
        </w:tc>
        <w:tc>
          <w:tcPr>
            <w:tcW w:w="2970" w:type="dxa"/>
            <w:vAlign w:val="center"/>
          </w:tcPr>
          <w:p w:rsidR="007564B2" w:rsidRPr="000B7712" w:rsidRDefault="00F16F92" w:rsidP="00C6008C">
            <w:pPr>
              <w:pStyle w:val="TableText"/>
              <w:rPr>
                <w:rStyle w:val="AnswerGray"/>
                <w:rFonts w:eastAsiaTheme="minorEastAsia"/>
                <w:noProof/>
                <w:shd w:val="clear" w:color="auto" w:fill="BFBFBF"/>
                <w:lang w:val="fr-FR"/>
              </w:rPr>
            </w:pPr>
          </w:p>
        </w:tc>
      </w:tr>
      <w:tr w:rsidR="007564B2" w:rsidRPr="000B7712" w:rsidTr="008301AD">
        <w:trPr>
          <w:cantSplit/>
          <w:jc w:val="center"/>
        </w:trPr>
        <w:tc>
          <w:tcPr>
            <w:tcW w:w="3171" w:type="dxa"/>
            <w:vAlign w:val="bottom"/>
          </w:tcPr>
          <w:p w:rsidR="007564B2" w:rsidRPr="000B7712" w:rsidRDefault="00695406" w:rsidP="007564B2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R2 G0/0 LAN</w:t>
            </w:r>
          </w:p>
        </w:tc>
        <w:tc>
          <w:tcPr>
            <w:tcW w:w="2970" w:type="dxa"/>
            <w:vAlign w:val="center"/>
          </w:tcPr>
          <w:p w:rsidR="007564B2" w:rsidRPr="000B7712" w:rsidRDefault="00F16F92" w:rsidP="00DC1827">
            <w:pPr>
              <w:pStyle w:val="TableText"/>
              <w:rPr>
                <w:rStyle w:val="AnswerGray"/>
                <w:rFonts w:eastAsiaTheme="minorEastAsia"/>
                <w:noProof/>
                <w:shd w:val="clear" w:color="auto" w:fill="BFBFBF"/>
                <w:lang w:val="fr-FR"/>
              </w:rPr>
            </w:pPr>
          </w:p>
        </w:tc>
      </w:tr>
      <w:tr w:rsidR="007564B2" w:rsidRPr="000B7712" w:rsidTr="008301AD">
        <w:trPr>
          <w:cantSplit/>
          <w:jc w:val="center"/>
        </w:trPr>
        <w:tc>
          <w:tcPr>
            <w:tcW w:w="3171" w:type="dxa"/>
            <w:vAlign w:val="bottom"/>
          </w:tcPr>
          <w:p w:rsidR="007564B2" w:rsidRPr="000B7712" w:rsidRDefault="00695406" w:rsidP="007564B2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R2 G0/1 LAN</w:t>
            </w:r>
          </w:p>
        </w:tc>
        <w:tc>
          <w:tcPr>
            <w:tcW w:w="2970" w:type="dxa"/>
            <w:vAlign w:val="center"/>
          </w:tcPr>
          <w:p w:rsidR="007564B2" w:rsidRPr="000B7712" w:rsidRDefault="00F16F92" w:rsidP="00DC1827">
            <w:pPr>
              <w:pStyle w:val="TableText"/>
              <w:rPr>
                <w:rStyle w:val="AnswerGray"/>
                <w:rFonts w:eastAsiaTheme="minorEastAsia"/>
                <w:noProof/>
                <w:shd w:val="clear" w:color="auto" w:fill="BFBFBF"/>
                <w:lang w:val="fr-FR"/>
              </w:rPr>
            </w:pPr>
          </w:p>
        </w:tc>
      </w:tr>
      <w:tr w:rsidR="007564B2" w:rsidRPr="000B7712" w:rsidTr="008301AD">
        <w:trPr>
          <w:cantSplit/>
          <w:jc w:val="center"/>
        </w:trPr>
        <w:tc>
          <w:tcPr>
            <w:tcW w:w="3171" w:type="dxa"/>
            <w:vAlign w:val="bottom"/>
          </w:tcPr>
          <w:p w:rsidR="007564B2" w:rsidRPr="000B7712" w:rsidRDefault="00695406" w:rsidP="007564B2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Liaison de réseau étendu</w:t>
            </w:r>
          </w:p>
        </w:tc>
        <w:tc>
          <w:tcPr>
            <w:tcW w:w="2970" w:type="dxa"/>
            <w:vAlign w:val="center"/>
          </w:tcPr>
          <w:p w:rsidR="007564B2" w:rsidRPr="000B7712" w:rsidRDefault="00F16F92" w:rsidP="00DC1827">
            <w:pPr>
              <w:pStyle w:val="TableText"/>
              <w:rPr>
                <w:rStyle w:val="AnswerGray"/>
                <w:rFonts w:eastAsiaTheme="minorEastAsia"/>
                <w:noProof/>
                <w:shd w:val="clear" w:color="auto" w:fill="BFBFBF"/>
                <w:lang w:val="fr-FR"/>
              </w:rPr>
            </w:pPr>
          </w:p>
        </w:tc>
      </w:tr>
    </w:tbl>
    <w:p w:rsidR="007564B2" w:rsidRPr="000B7712" w:rsidRDefault="00F16F92" w:rsidP="007564B2">
      <w:pPr>
        <w:pStyle w:val="TableHeading"/>
        <w:rPr>
          <w:noProof/>
          <w:lang w:val="fr-FR"/>
        </w:rPr>
      </w:pPr>
    </w:p>
    <w:p w:rsidR="007564B2" w:rsidRPr="000B7712" w:rsidRDefault="00695406" w:rsidP="008301AD">
      <w:pPr>
        <w:pStyle w:val="StepHead"/>
        <w:ind w:left="1002" w:hanging="1002"/>
        <w:rPr>
          <w:noProof/>
          <w:lang w:val="fr-FR"/>
        </w:rPr>
      </w:pPr>
      <w:r w:rsidRPr="000B7712">
        <w:rPr>
          <w:noProof/>
          <w:lang w:val="fr-FR"/>
        </w:rPr>
        <w:t>Attribuez l</w:t>
      </w:r>
      <w:r w:rsidR="00E63D21" w:rsidRPr="000B7712">
        <w:rPr>
          <w:noProof/>
          <w:lang w:val="fr-FR"/>
        </w:rPr>
        <w:t>’</w:t>
      </w:r>
      <w:r w:rsidRPr="000B7712">
        <w:rPr>
          <w:noProof/>
          <w:lang w:val="fr-FR"/>
        </w:rPr>
        <w:t>adressage IPv6 aux routeurs.</w:t>
      </w:r>
    </w:p>
    <w:p w:rsidR="007564B2" w:rsidRPr="000B7712" w:rsidRDefault="00695406" w:rsidP="00C70F3E">
      <w:pPr>
        <w:pStyle w:val="SubStepAlpha"/>
        <w:rPr>
          <w:noProof/>
          <w:lang w:val="fr-FR"/>
        </w:rPr>
      </w:pPr>
      <w:r w:rsidRPr="000B7712">
        <w:rPr>
          <w:noProof/>
          <w:lang w:val="fr-FR"/>
        </w:rPr>
        <w:t>Attribuez les premières adresses IPv6 à R1 pour les deux liaisons LAN et la liaison WAN.</w:t>
      </w:r>
    </w:p>
    <w:p w:rsidR="00C70F3E" w:rsidRPr="000B7712" w:rsidRDefault="00695406" w:rsidP="00C70F3E">
      <w:pPr>
        <w:pStyle w:val="SubStepAlpha"/>
        <w:rPr>
          <w:noProof/>
          <w:lang w:val="fr-FR"/>
        </w:rPr>
      </w:pPr>
      <w:r w:rsidRPr="000B7712">
        <w:rPr>
          <w:noProof/>
          <w:lang w:val="fr-FR"/>
        </w:rPr>
        <w:t>Attribuez les premières adresses IPv6 à R2 pour les deux LAN. Attribuez la deuxième adresse IPv6 pour la liaison WAN.</w:t>
      </w:r>
    </w:p>
    <w:p w:rsidR="00C70F3E" w:rsidRPr="000B7712" w:rsidRDefault="00695406" w:rsidP="00C70F3E">
      <w:pPr>
        <w:pStyle w:val="SubStepAlpha"/>
        <w:rPr>
          <w:noProof/>
          <w:lang w:val="fr-FR"/>
        </w:rPr>
      </w:pPr>
      <w:r w:rsidRPr="000B7712">
        <w:rPr>
          <w:noProof/>
          <w:lang w:val="fr-FR"/>
        </w:rPr>
        <w:t>Documentez le schéma d</w:t>
      </w:r>
      <w:r w:rsidR="00E63D21" w:rsidRPr="000B7712">
        <w:rPr>
          <w:noProof/>
          <w:lang w:val="fr-FR"/>
        </w:rPr>
        <w:t>’</w:t>
      </w:r>
      <w:r w:rsidRPr="000B7712">
        <w:rPr>
          <w:noProof/>
          <w:lang w:val="fr-FR"/>
        </w:rPr>
        <w:t xml:space="preserve">adressage IPv6 dans la </w:t>
      </w:r>
      <w:r w:rsidRPr="000B7712">
        <w:rPr>
          <w:b/>
          <w:noProof/>
          <w:lang w:val="fr-FR"/>
        </w:rPr>
        <w:t>table d</w:t>
      </w:r>
      <w:r w:rsidR="00E63D21" w:rsidRPr="000B7712">
        <w:rPr>
          <w:b/>
          <w:noProof/>
          <w:lang w:val="fr-FR"/>
        </w:rPr>
        <w:t>’</w:t>
      </w:r>
      <w:r w:rsidRPr="000B7712">
        <w:rPr>
          <w:b/>
          <w:noProof/>
          <w:lang w:val="fr-FR"/>
        </w:rPr>
        <w:t>adressage</w:t>
      </w:r>
      <w:r w:rsidRPr="000B7712">
        <w:rPr>
          <w:noProof/>
          <w:lang w:val="fr-FR"/>
        </w:rPr>
        <w:t>.</w:t>
      </w:r>
    </w:p>
    <w:p w:rsidR="00A60146" w:rsidRPr="000B7712" w:rsidRDefault="008301AD" w:rsidP="008301AD">
      <w:pPr>
        <w:pStyle w:val="PartHead"/>
        <w:numPr>
          <w:ilvl w:val="0"/>
          <w:numId w:val="0"/>
        </w:numPr>
        <w:ind w:left="1412" w:hangingChars="514" w:hanging="1412"/>
        <w:rPr>
          <w:noProof/>
          <w:lang w:val="fr-FR"/>
        </w:rPr>
      </w:pPr>
      <w:r w:rsidRPr="000B7712">
        <w:rPr>
          <w:noProof/>
          <w:lang w:val="fr-FR"/>
        </w:rPr>
        <w:t xml:space="preserve">2e partie : </w:t>
      </w:r>
      <w:r w:rsidR="00695406" w:rsidRPr="000B7712">
        <w:rPr>
          <w:noProof/>
          <w:lang w:val="fr-FR"/>
        </w:rPr>
        <w:t>Configurer l</w:t>
      </w:r>
      <w:r w:rsidR="00E63D21" w:rsidRPr="000B7712">
        <w:rPr>
          <w:noProof/>
          <w:lang w:val="fr-FR"/>
        </w:rPr>
        <w:t>’</w:t>
      </w:r>
      <w:r w:rsidR="00695406" w:rsidRPr="000B7712">
        <w:rPr>
          <w:noProof/>
          <w:lang w:val="fr-FR"/>
        </w:rPr>
        <w:t>adressage IPv6 sur les routeurs et les ordinateurs, et vérifier la connectivité</w:t>
      </w:r>
    </w:p>
    <w:p w:rsidR="00C70F3E" w:rsidRPr="000B7712" w:rsidRDefault="00695406" w:rsidP="00521BD0">
      <w:pPr>
        <w:pStyle w:val="StepHead"/>
        <w:numPr>
          <w:ilvl w:val="0"/>
          <w:numId w:val="7"/>
        </w:numPr>
        <w:ind w:left="993" w:firstLineChars="0" w:hanging="993"/>
        <w:rPr>
          <w:noProof/>
          <w:lang w:val="fr-FR"/>
        </w:rPr>
      </w:pPr>
      <w:r w:rsidRPr="000B7712">
        <w:rPr>
          <w:noProof/>
          <w:lang w:val="fr-FR"/>
        </w:rPr>
        <w:t>Configurez les routeurs avec l</w:t>
      </w:r>
      <w:r w:rsidR="00E63D21" w:rsidRPr="000B7712">
        <w:rPr>
          <w:noProof/>
          <w:lang w:val="fr-FR"/>
        </w:rPr>
        <w:t>’</w:t>
      </w:r>
      <w:r w:rsidRPr="000B7712">
        <w:rPr>
          <w:noProof/>
          <w:lang w:val="fr-FR"/>
        </w:rPr>
        <w:t>adressage IPv6.</w:t>
      </w:r>
    </w:p>
    <w:p w:rsidR="00C70F3E" w:rsidRPr="000B7712" w:rsidRDefault="00695406" w:rsidP="00C70F3E">
      <w:pPr>
        <w:pStyle w:val="BodyTextL25"/>
        <w:rPr>
          <w:noProof/>
          <w:lang w:val="fr-FR"/>
        </w:rPr>
      </w:pPr>
      <w:r w:rsidRPr="000B7712">
        <w:rPr>
          <w:b/>
          <w:noProof/>
          <w:lang w:val="fr-FR"/>
        </w:rPr>
        <w:t>Remarque :</w:t>
      </w:r>
      <w:r w:rsidRPr="000B7712">
        <w:rPr>
          <w:noProof/>
          <w:lang w:val="fr-FR"/>
        </w:rPr>
        <w:t xml:space="preserve"> ce réseau est déjà configuré avec certaines commandes IPv6 qui seront traitées dans un cours ultérieur. À ce stade, vous devez simplement savoir comment configurer une adresse IPv6 sur une interface.</w:t>
      </w:r>
    </w:p>
    <w:p w:rsidR="006739D5" w:rsidRPr="000B7712" w:rsidRDefault="00695406" w:rsidP="006739D5">
      <w:pPr>
        <w:pStyle w:val="BodyTextL25"/>
        <w:rPr>
          <w:noProof/>
          <w:lang w:val="fr-FR"/>
        </w:rPr>
      </w:pPr>
      <w:r w:rsidRPr="000B7712">
        <w:rPr>
          <w:noProof/>
          <w:lang w:val="fr-FR"/>
        </w:rPr>
        <w:t xml:space="preserve">Configurez R1 et R2 avec les adresses IPv6 que vous avez spécifiées dans la </w:t>
      </w:r>
      <w:r w:rsidRPr="000B7712">
        <w:rPr>
          <w:b/>
          <w:noProof/>
          <w:lang w:val="fr-FR"/>
        </w:rPr>
        <w:t>table d</w:t>
      </w:r>
      <w:r w:rsidR="00E63D21" w:rsidRPr="000B7712">
        <w:rPr>
          <w:b/>
          <w:noProof/>
          <w:lang w:val="fr-FR"/>
        </w:rPr>
        <w:t>’</w:t>
      </w:r>
      <w:r w:rsidRPr="000B7712">
        <w:rPr>
          <w:b/>
          <w:noProof/>
          <w:lang w:val="fr-FR"/>
        </w:rPr>
        <w:t xml:space="preserve">adressage </w:t>
      </w:r>
      <w:r w:rsidRPr="000B7712">
        <w:rPr>
          <w:noProof/>
          <w:lang w:val="fr-FR"/>
        </w:rPr>
        <w:t>et activez les interfaces.</w:t>
      </w:r>
    </w:p>
    <w:p w:rsidR="006739D5" w:rsidRPr="00F16F92" w:rsidRDefault="00695406" w:rsidP="006739D5">
      <w:pPr>
        <w:pStyle w:val="CMD"/>
        <w:rPr>
          <w:i/>
          <w:noProof/>
          <w:lang w:val="en-US"/>
        </w:rPr>
      </w:pPr>
      <w:r w:rsidRPr="00F16F92">
        <w:rPr>
          <w:noProof/>
          <w:lang w:val="en-US"/>
        </w:rPr>
        <w:t xml:space="preserve">Router(config-if)# </w:t>
      </w:r>
      <w:r w:rsidRPr="00F16F92">
        <w:rPr>
          <w:b/>
          <w:noProof/>
          <w:lang w:val="en-US"/>
        </w:rPr>
        <w:t xml:space="preserve">ipv6 address </w:t>
      </w:r>
      <w:r w:rsidRPr="00F16F92">
        <w:rPr>
          <w:i/>
          <w:noProof/>
          <w:lang w:val="en-US"/>
        </w:rPr>
        <w:t>ipv6-address/prefix</w:t>
      </w:r>
    </w:p>
    <w:p w:rsidR="00DC1827" w:rsidRPr="00F16F92" w:rsidRDefault="00695406" w:rsidP="006739D5">
      <w:pPr>
        <w:pStyle w:val="CMD"/>
        <w:rPr>
          <w:b/>
          <w:noProof/>
          <w:lang w:val="en-US"/>
        </w:rPr>
      </w:pPr>
      <w:r w:rsidRPr="00F16F92">
        <w:rPr>
          <w:noProof/>
          <w:lang w:val="en-US"/>
        </w:rPr>
        <w:t xml:space="preserve">Router(config-if)# </w:t>
      </w:r>
      <w:r w:rsidRPr="00F16F92">
        <w:rPr>
          <w:b/>
          <w:noProof/>
          <w:lang w:val="en-US"/>
        </w:rPr>
        <w:t xml:space="preserve">ipv6 address </w:t>
      </w:r>
      <w:r w:rsidRPr="00F16F92">
        <w:rPr>
          <w:i/>
          <w:noProof/>
          <w:lang w:val="en-US"/>
        </w:rPr>
        <w:t xml:space="preserve">ipv6-link-local </w:t>
      </w:r>
      <w:r w:rsidRPr="00F16F92">
        <w:rPr>
          <w:b/>
          <w:noProof/>
          <w:lang w:val="en-US"/>
        </w:rPr>
        <w:t>link-local</w:t>
      </w:r>
    </w:p>
    <w:p w:rsidR="006739D5" w:rsidRPr="000B7712" w:rsidRDefault="00695406" w:rsidP="008301AD">
      <w:pPr>
        <w:pStyle w:val="StepHead"/>
        <w:ind w:left="1002" w:hanging="1002"/>
        <w:rPr>
          <w:noProof/>
          <w:lang w:val="fr-FR"/>
        </w:rPr>
      </w:pPr>
      <w:r w:rsidRPr="000B7712">
        <w:rPr>
          <w:noProof/>
          <w:lang w:val="fr-FR"/>
        </w:rPr>
        <w:lastRenderedPageBreak/>
        <w:t>Configurez les ordinateurs pour la réception automatique de l</w:t>
      </w:r>
      <w:r w:rsidR="00E63D21" w:rsidRPr="000B7712">
        <w:rPr>
          <w:noProof/>
          <w:lang w:val="fr-FR"/>
        </w:rPr>
        <w:t>’</w:t>
      </w:r>
      <w:r w:rsidRPr="000B7712">
        <w:rPr>
          <w:noProof/>
          <w:lang w:val="fr-FR"/>
        </w:rPr>
        <w:t>adressage IPv6.</w:t>
      </w:r>
    </w:p>
    <w:p w:rsidR="00C70F3E" w:rsidRPr="000B7712" w:rsidRDefault="00695406" w:rsidP="006739D5">
      <w:pPr>
        <w:pStyle w:val="BodyTextL25"/>
        <w:rPr>
          <w:noProof/>
          <w:lang w:val="fr-FR"/>
        </w:rPr>
      </w:pPr>
      <w:r w:rsidRPr="000B7712">
        <w:rPr>
          <w:noProof/>
          <w:lang w:val="fr-FR"/>
        </w:rPr>
        <w:t>Préparez les quatre ordinateurs pour la configuration automatique. Chaque ordinateur doit alors recevoir automatiquement toutes les adresses IPv6 des routeurs.</w:t>
      </w:r>
    </w:p>
    <w:p w:rsidR="006739D5" w:rsidRPr="000B7712" w:rsidRDefault="00695406" w:rsidP="008301AD">
      <w:pPr>
        <w:pStyle w:val="StepHead"/>
        <w:ind w:left="1002" w:hanging="1002"/>
        <w:rPr>
          <w:noProof/>
          <w:lang w:val="fr-FR"/>
        </w:rPr>
      </w:pPr>
      <w:r w:rsidRPr="000B7712">
        <w:rPr>
          <w:noProof/>
          <w:lang w:val="fr-FR"/>
        </w:rPr>
        <w:t>Vérifiez la connectivité entre les ordinateurs.</w:t>
      </w:r>
    </w:p>
    <w:p w:rsidR="006739D5" w:rsidRPr="000B7712" w:rsidRDefault="00695406" w:rsidP="006739D5">
      <w:pPr>
        <w:pStyle w:val="BodyTextL25"/>
        <w:rPr>
          <w:noProof/>
          <w:lang w:val="fr-FR"/>
        </w:rPr>
      </w:pPr>
      <w:r w:rsidRPr="000B7712">
        <w:rPr>
          <w:noProof/>
          <w:lang w:val="fr-FR"/>
        </w:rPr>
        <w:t>Chaque ordinateur doit être capable d</w:t>
      </w:r>
      <w:r w:rsidR="00E63D21" w:rsidRPr="000B7712">
        <w:rPr>
          <w:noProof/>
          <w:lang w:val="fr-FR"/>
        </w:rPr>
        <w:t>’</w:t>
      </w:r>
      <w:r w:rsidRPr="000B7712">
        <w:rPr>
          <w:noProof/>
          <w:lang w:val="fr-FR"/>
        </w:rPr>
        <w:t xml:space="preserve">envoyer une requête ping aux autres ordinateurs et aux routeurs. </w:t>
      </w:r>
    </w:p>
    <w:p w:rsidR="006739D5" w:rsidRPr="000B7712" w:rsidRDefault="00695406" w:rsidP="006739D5">
      <w:pPr>
        <w:pStyle w:val="LabSection"/>
        <w:rPr>
          <w:noProof/>
          <w:lang w:val="fr-FR"/>
        </w:rPr>
      </w:pPr>
      <w:r w:rsidRPr="000B7712">
        <w:rPr>
          <w:noProof/>
          <w:lang w:val="fr-FR"/>
        </w:rPr>
        <w:t xml:space="preserve">Suggestion de barème de notation </w:t>
      </w:r>
    </w:p>
    <w:tbl>
      <w:tblPr>
        <w:tblW w:w="78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87"/>
        <w:gridCol w:w="1868"/>
        <w:gridCol w:w="2135"/>
        <w:gridCol w:w="1303"/>
      </w:tblGrid>
      <w:tr w:rsidR="006739D5" w:rsidRPr="000B7712" w:rsidTr="00521BD0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0B7712" w:rsidRDefault="00695406" w:rsidP="00C6008C">
            <w:pPr>
              <w:pStyle w:val="TableHeading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Section d</w:t>
            </w:r>
            <w:r w:rsidR="00E63D21" w:rsidRPr="000B7712">
              <w:rPr>
                <w:noProof/>
                <w:lang w:val="fr-FR"/>
              </w:rPr>
              <w:t>’</w:t>
            </w:r>
            <w:r w:rsidRPr="000B7712">
              <w:rPr>
                <w:noProof/>
                <w:lang w:val="fr-FR"/>
              </w:rPr>
              <w:t>exercice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0B7712" w:rsidRDefault="00695406" w:rsidP="00C6008C">
            <w:pPr>
              <w:pStyle w:val="TableHeading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Emplacement de la question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0B7712" w:rsidRDefault="00695406" w:rsidP="00C6008C">
            <w:pPr>
              <w:pStyle w:val="TableHeading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Nombre maximum de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0B7712" w:rsidRDefault="00695406" w:rsidP="00C6008C">
            <w:pPr>
              <w:pStyle w:val="TableHeading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Points accumulés</w:t>
            </w:r>
          </w:p>
        </w:tc>
      </w:tr>
      <w:tr w:rsidR="006739D5" w:rsidRPr="000B7712" w:rsidTr="00521BD0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Partie 1 : Déterminer les sous-réseaux IPv6 et le schéma d</w:t>
            </w:r>
            <w:r w:rsidR="00E63D21" w:rsidRPr="000B7712">
              <w:rPr>
                <w:noProof/>
                <w:lang w:val="fr-FR"/>
              </w:rPr>
              <w:t>’</w:t>
            </w:r>
            <w:r w:rsidRPr="000B7712">
              <w:rPr>
                <w:noProof/>
                <w:lang w:val="fr-FR"/>
              </w:rPr>
              <w:t xml:space="preserve">adressage 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jc w:val="center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Table des sous-réseaux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jc w:val="center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0B7712" w:rsidRDefault="00F16F92" w:rsidP="00FA7B27">
            <w:pPr>
              <w:pStyle w:val="TableText"/>
              <w:rPr>
                <w:noProof/>
                <w:lang w:val="fr-FR"/>
              </w:rPr>
            </w:pPr>
          </w:p>
        </w:tc>
      </w:tr>
      <w:tr w:rsidR="006739D5" w:rsidRPr="000B7712" w:rsidTr="00521BD0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6739D5" w:rsidRPr="000B7712" w:rsidRDefault="00F16F92" w:rsidP="00FA7B2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jc w:val="center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Table d</w:t>
            </w:r>
            <w:r w:rsidR="00E63D21" w:rsidRPr="000B7712">
              <w:rPr>
                <w:noProof/>
                <w:lang w:val="fr-FR"/>
              </w:rPr>
              <w:t>’</w:t>
            </w:r>
            <w:r w:rsidRPr="000B7712">
              <w:rPr>
                <w:noProof/>
                <w:lang w:val="fr-FR"/>
              </w:rPr>
              <w:t>adressage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jc w:val="center"/>
              <w:rPr>
                <w:noProof/>
                <w:lang w:val="fr-FR"/>
              </w:rPr>
            </w:pPr>
            <w:r w:rsidRPr="000B7712">
              <w:rPr>
                <w:noProof/>
                <w:lang w:val="fr-FR"/>
              </w:rPr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0B7712" w:rsidRDefault="00F16F92" w:rsidP="00FA7B27">
            <w:pPr>
              <w:pStyle w:val="TableText"/>
              <w:rPr>
                <w:noProof/>
                <w:lang w:val="fr-FR"/>
              </w:rPr>
            </w:pPr>
          </w:p>
        </w:tc>
      </w:tr>
      <w:tr w:rsidR="006739D5" w:rsidRPr="000B7712" w:rsidTr="00521BD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0B7712">
              <w:rPr>
                <w:b/>
                <w:noProof/>
                <w:lang w:val="fr-FR"/>
              </w:rPr>
              <w:t>Total de la 1re partie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0B7712">
              <w:rPr>
                <w:b/>
                <w:noProof/>
                <w:lang w:val="fr-FR"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0B7712" w:rsidRDefault="00F16F92" w:rsidP="00FA7B27">
            <w:pPr>
              <w:pStyle w:val="TableText"/>
              <w:rPr>
                <w:b/>
                <w:noProof/>
                <w:lang w:val="fr-FR"/>
              </w:rPr>
            </w:pPr>
          </w:p>
        </w:tc>
      </w:tr>
      <w:tr w:rsidR="006739D5" w:rsidRPr="000B7712" w:rsidTr="00521BD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0B7712">
              <w:rPr>
                <w:b/>
                <w:noProof/>
                <w:lang w:val="fr-FR"/>
              </w:rPr>
              <w:t>Score relatif à Packet Tracer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0B7712">
              <w:rPr>
                <w:b/>
                <w:noProof/>
                <w:lang w:val="fr-FR"/>
              </w:rPr>
              <w:t>40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0B7712" w:rsidRDefault="00F16F92" w:rsidP="00FA7B27">
            <w:pPr>
              <w:pStyle w:val="TableText"/>
              <w:rPr>
                <w:b/>
                <w:noProof/>
                <w:lang w:val="fr-FR"/>
              </w:rPr>
            </w:pPr>
          </w:p>
        </w:tc>
      </w:tr>
      <w:tr w:rsidR="006739D5" w:rsidRPr="000B7712" w:rsidTr="00521BD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0B7712">
              <w:rPr>
                <w:b/>
                <w:noProof/>
                <w:lang w:val="fr-FR"/>
              </w:rPr>
              <w:t>Score total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6739D5" w:rsidRPr="000B7712" w:rsidRDefault="00695406" w:rsidP="00FA7B27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0B7712">
              <w:rPr>
                <w:b/>
                <w:noProof/>
                <w:lang w:val="fr-FR"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0B7712" w:rsidRDefault="00F16F92" w:rsidP="00FA7B27">
            <w:pPr>
              <w:pStyle w:val="TableText"/>
              <w:rPr>
                <w:b/>
                <w:noProof/>
                <w:lang w:val="fr-FR"/>
              </w:rPr>
            </w:pPr>
          </w:p>
        </w:tc>
      </w:tr>
    </w:tbl>
    <w:p w:rsidR="0059000B" w:rsidRPr="000B7712" w:rsidRDefault="00F16F92">
      <w:pPr>
        <w:pStyle w:val="BodyTextL25"/>
        <w:rPr>
          <w:noProof/>
          <w:lang w:val="fr-FR"/>
        </w:rPr>
      </w:pPr>
    </w:p>
    <w:bookmarkEnd w:id="0"/>
    <w:p w:rsidR="006739D5" w:rsidRPr="000B7712" w:rsidRDefault="00F16F92" w:rsidP="006739D5">
      <w:pPr>
        <w:pStyle w:val="BodyTextL25"/>
        <w:rPr>
          <w:noProof/>
          <w:lang w:val="fr-FR"/>
        </w:rPr>
      </w:pPr>
    </w:p>
    <w:sectPr w:rsidR="006739D5" w:rsidRPr="000B7712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24F" w:rsidRDefault="009A224F" w:rsidP="0090659A">
      <w:pPr>
        <w:spacing w:after="0" w:line="240" w:lineRule="auto"/>
      </w:pPr>
      <w:r>
        <w:separator/>
      </w:r>
    </w:p>
    <w:p w:rsidR="009A224F" w:rsidRDefault="009A224F"/>
    <w:p w:rsidR="009A224F" w:rsidRDefault="009A224F"/>
    <w:p w:rsidR="009A224F" w:rsidRDefault="009A224F"/>
    <w:p w:rsidR="009A224F" w:rsidRDefault="009A224F"/>
  </w:endnote>
  <w:endnote w:type="continuationSeparator" w:id="0">
    <w:p w:rsidR="009A224F" w:rsidRDefault="009A224F" w:rsidP="0090659A">
      <w:pPr>
        <w:spacing w:after="0" w:line="240" w:lineRule="auto"/>
      </w:pPr>
      <w:r>
        <w:continuationSeparator/>
      </w:r>
    </w:p>
    <w:p w:rsidR="009A224F" w:rsidRDefault="009A224F"/>
    <w:p w:rsidR="009A224F" w:rsidRDefault="009A224F"/>
    <w:p w:rsidR="009A224F" w:rsidRDefault="009A224F"/>
    <w:p w:rsidR="009A224F" w:rsidRDefault="009A224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92" w:rsidRDefault="00F16F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0B7712" w:rsidRDefault="00695406" w:rsidP="00F16F92">
    <w:pPr>
      <w:pStyle w:val="Footer"/>
      <w:rPr>
        <w:noProof/>
        <w:szCs w:val="16"/>
        <w:lang w:val="fr-FR"/>
      </w:rPr>
    </w:pPr>
    <w:r w:rsidRPr="000B7712">
      <w:rPr>
        <w:noProof/>
        <w:lang w:val="fr-FR"/>
      </w:rPr>
      <w:t xml:space="preserve">© </w:t>
    </w:r>
    <w:r w:rsidR="00F16F92" w:rsidRPr="00765570">
      <w:rPr>
        <w:lang w:val="fr-FR"/>
      </w:rPr>
      <w:t>201</w:t>
    </w:r>
    <w:r w:rsidR="00F16F92">
      <w:rPr>
        <w:rFonts w:eastAsia="SimSun" w:hint="eastAsia"/>
        <w:lang w:val="fr-FR"/>
      </w:rPr>
      <w:t>4</w:t>
    </w:r>
    <w:r w:rsidR="00F16F92" w:rsidRPr="00765570">
      <w:rPr>
        <w:lang w:val="fr-FR"/>
      </w:rPr>
      <w:t xml:space="preserve"> </w:t>
    </w:r>
    <w:r w:rsidRPr="000B7712">
      <w:rPr>
        <w:noProof/>
        <w:lang w:val="fr-FR"/>
      </w:rPr>
      <w:t>Cisco et/ou ses filiales. Tous droits réservés. Ceci est un document public de Cisco.</w:t>
    </w:r>
    <w:r w:rsidRPr="000B7712">
      <w:rPr>
        <w:noProof/>
        <w:szCs w:val="16"/>
        <w:lang w:val="fr-FR"/>
      </w:rPr>
      <w:tab/>
    </w:r>
    <w:r w:rsidR="00521BD0" w:rsidRPr="000B7712">
      <w:rPr>
        <w:noProof/>
        <w:szCs w:val="16"/>
        <w:lang w:val="fr-FR"/>
      </w:rPr>
      <w:t xml:space="preserve">Page </w:t>
    </w:r>
    <w:r w:rsidR="00361B0A" w:rsidRPr="000B7712">
      <w:rPr>
        <w:b/>
        <w:noProof/>
        <w:szCs w:val="16"/>
        <w:lang w:val="fr-FR"/>
      </w:rPr>
      <w:fldChar w:fldCharType="begin"/>
    </w:r>
    <w:r w:rsidR="00521BD0" w:rsidRPr="000B7712">
      <w:rPr>
        <w:b/>
        <w:noProof/>
        <w:szCs w:val="16"/>
        <w:lang w:val="fr-FR"/>
      </w:rPr>
      <w:instrText xml:space="preserve"> PAGE </w:instrText>
    </w:r>
    <w:r w:rsidR="00361B0A" w:rsidRPr="000B7712">
      <w:rPr>
        <w:b/>
        <w:noProof/>
        <w:szCs w:val="16"/>
        <w:lang w:val="fr-FR"/>
      </w:rPr>
      <w:fldChar w:fldCharType="separate"/>
    </w:r>
    <w:r w:rsidR="00F16F92">
      <w:rPr>
        <w:b/>
        <w:noProof/>
        <w:szCs w:val="16"/>
        <w:lang w:val="fr-FR"/>
      </w:rPr>
      <w:t>2</w:t>
    </w:r>
    <w:r w:rsidR="00361B0A" w:rsidRPr="000B7712">
      <w:rPr>
        <w:b/>
        <w:noProof/>
        <w:szCs w:val="16"/>
        <w:lang w:val="fr-FR"/>
      </w:rPr>
      <w:fldChar w:fldCharType="end"/>
    </w:r>
    <w:r w:rsidR="00521BD0" w:rsidRPr="000B7712">
      <w:rPr>
        <w:noProof/>
        <w:szCs w:val="16"/>
        <w:lang w:val="fr-FR"/>
      </w:rPr>
      <w:t xml:space="preserve"> sur </w:t>
    </w:r>
    <w:r w:rsidR="00361B0A" w:rsidRPr="000B7712">
      <w:rPr>
        <w:b/>
        <w:noProof/>
        <w:szCs w:val="16"/>
        <w:lang w:val="fr-FR"/>
      </w:rPr>
      <w:fldChar w:fldCharType="begin"/>
    </w:r>
    <w:r w:rsidR="00521BD0" w:rsidRPr="000B7712">
      <w:rPr>
        <w:b/>
        <w:noProof/>
        <w:szCs w:val="16"/>
        <w:lang w:val="fr-FR"/>
      </w:rPr>
      <w:instrText xml:space="preserve"> NUMPAGES  </w:instrText>
    </w:r>
    <w:r w:rsidR="00361B0A" w:rsidRPr="000B7712">
      <w:rPr>
        <w:b/>
        <w:noProof/>
        <w:szCs w:val="16"/>
        <w:lang w:val="fr-FR"/>
      </w:rPr>
      <w:fldChar w:fldCharType="separate"/>
    </w:r>
    <w:r w:rsidR="00F16F92">
      <w:rPr>
        <w:b/>
        <w:noProof/>
        <w:szCs w:val="16"/>
        <w:lang w:val="fr-FR"/>
      </w:rPr>
      <w:t>3</w:t>
    </w:r>
    <w:r w:rsidR="00361B0A" w:rsidRPr="000B7712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0B7712" w:rsidRDefault="00695406" w:rsidP="00F16F92">
    <w:pPr>
      <w:pStyle w:val="Footer"/>
      <w:rPr>
        <w:noProof/>
        <w:szCs w:val="16"/>
        <w:lang w:val="fr-FR"/>
      </w:rPr>
    </w:pPr>
    <w:r w:rsidRPr="000B7712">
      <w:rPr>
        <w:noProof/>
        <w:lang w:val="fr-FR"/>
      </w:rPr>
      <w:t xml:space="preserve">© </w:t>
    </w:r>
    <w:r w:rsidR="00F16F92" w:rsidRPr="00765570">
      <w:rPr>
        <w:lang w:val="fr-FR"/>
      </w:rPr>
      <w:t>201</w:t>
    </w:r>
    <w:r w:rsidR="00F16F92">
      <w:rPr>
        <w:rFonts w:eastAsia="SimSun" w:hint="eastAsia"/>
        <w:lang w:val="fr-FR"/>
      </w:rPr>
      <w:t>4</w:t>
    </w:r>
    <w:r w:rsidR="00F16F92" w:rsidRPr="00765570">
      <w:rPr>
        <w:lang w:val="fr-FR"/>
      </w:rPr>
      <w:t xml:space="preserve"> </w:t>
    </w:r>
    <w:r w:rsidRPr="000B7712">
      <w:rPr>
        <w:noProof/>
        <w:lang w:val="fr-FR"/>
      </w:rPr>
      <w:t>Cisco et/ou ses filiales. Tous droits réservés. Ceci est un document public de Cisco.</w:t>
    </w:r>
    <w:r w:rsidRPr="000B7712">
      <w:rPr>
        <w:noProof/>
        <w:szCs w:val="16"/>
        <w:lang w:val="fr-FR"/>
      </w:rPr>
      <w:tab/>
    </w:r>
    <w:r w:rsidR="00521BD0" w:rsidRPr="000B7712">
      <w:rPr>
        <w:noProof/>
        <w:szCs w:val="16"/>
        <w:lang w:val="fr-FR"/>
      </w:rPr>
      <w:t xml:space="preserve">Page </w:t>
    </w:r>
    <w:r w:rsidR="00361B0A" w:rsidRPr="000B7712">
      <w:rPr>
        <w:b/>
        <w:noProof/>
        <w:szCs w:val="16"/>
        <w:lang w:val="fr-FR"/>
      </w:rPr>
      <w:fldChar w:fldCharType="begin"/>
    </w:r>
    <w:r w:rsidR="00521BD0" w:rsidRPr="000B7712">
      <w:rPr>
        <w:b/>
        <w:noProof/>
        <w:szCs w:val="16"/>
        <w:lang w:val="fr-FR"/>
      </w:rPr>
      <w:instrText xml:space="preserve"> PAGE </w:instrText>
    </w:r>
    <w:r w:rsidR="00361B0A" w:rsidRPr="000B7712">
      <w:rPr>
        <w:b/>
        <w:noProof/>
        <w:szCs w:val="16"/>
        <w:lang w:val="fr-FR"/>
      </w:rPr>
      <w:fldChar w:fldCharType="separate"/>
    </w:r>
    <w:r w:rsidR="00F16F92">
      <w:rPr>
        <w:b/>
        <w:noProof/>
        <w:szCs w:val="16"/>
        <w:lang w:val="fr-FR"/>
      </w:rPr>
      <w:t>1</w:t>
    </w:r>
    <w:r w:rsidR="00361B0A" w:rsidRPr="000B7712">
      <w:rPr>
        <w:b/>
        <w:noProof/>
        <w:szCs w:val="16"/>
        <w:lang w:val="fr-FR"/>
      </w:rPr>
      <w:fldChar w:fldCharType="end"/>
    </w:r>
    <w:r w:rsidR="00521BD0" w:rsidRPr="000B7712">
      <w:rPr>
        <w:noProof/>
        <w:szCs w:val="16"/>
        <w:lang w:val="fr-FR"/>
      </w:rPr>
      <w:t xml:space="preserve"> sur </w:t>
    </w:r>
    <w:r w:rsidR="00361B0A" w:rsidRPr="000B7712">
      <w:rPr>
        <w:b/>
        <w:noProof/>
        <w:szCs w:val="16"/>
        <w:lang w:val="fr-FR"/>
      </w:rPr>
      <w:fldChar w:fldCharType="begin"/>
    </w:r>
    <w:r w:rsidR="00521BD0" w:rsidRPr="000B7712">
      <w:rPr>
        <w:b/>
        <w:noProof/>
        <w:szCs w:val="16"/>
        <w:lang w:val="fr-FR"/>
      </w:rPr>
      <w:instrText xml:space="preserve"> NUMPAGES  </w:instrText>
    </w:r>
    <w:r w:rsidR="00361B0A" w:rsidRPr="000B7712">
      <w:rPr>
        <w:b/>
        <w:noProof/>
        <w:szCs w:val="16"/>
        <w:lang w:val="fr-FR"/>
      </w:rPr>
      <w:fldChar w:fldCharType="separate"/>
    </w:r>
    <w:r w:rsidR="00F16F92">
      <w:rPr>
        <w:b/>
        <w:noProof/>
        <w:szCs w:val="16"/>
        <w:lang w:val="fr-FR"/>
      </w:rPr>
      <w:t>3</w:t>
    </w:r>
    <w:r w:rsidR="00361B0A" w:rsidRPr="000B7712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24F" w:rsidRDefault="009A224F" w:rsidP="0090659A">
      <w:pPr>
        <w:spacing w:after="0" w:line="240" w:lineRule="auto"/>
      </w:pPr>
      <w:r>
        <w:separator/>
      </w:r>
    </w:p>
    <w:p w:rsidR="009A224F" w:rsidRDefault="009A224F"/>
    <w:p w:rsidR="009A224F" w:rsidRDefault="009A224F"/>
    <w:p w:rsidR="009A224F" w:rsidRDefault="009A224F"/>
    <w:p w:rsidR="009A224F" w:rsidRDefault="009A224F"/>
  </w:footnote>
  <w:footnote w:type="continuationSeparator" w:id="0">
    <w:p w:rsidR="009A224F" w:rsidRDefault="009A224F" w:rsidP="0090659A">
      <w:pPr>
        <w:spacing w:after="0" w:line="240" w:lineRule="auto"/>
      </w:pPr>
      <w:r>
        <w:continuationSeparator/>
      </w:r>
    </w:p>
    <w:p w:rsidR="009A224F" w:rsidRDefault="009A224F"/>
    <w:p w:rsidR="009A224F" w:rsidRDefault="009A224F"/>
    <w:p w:rsidR="009A224F" w:rsidRDefault="009A224F"/>
    <w:p w:rsidR="009A224F" w:rsidRDefault="009A224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92" w:rsidRDefault="00F16F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0B7712" w:rsidRDefault="00E8551F" w:rsidP="00C52BA6">
    <w:pPr>
      <w:pStyle w:val="PageHead"/>
      <w:rPr>
        <w:noProof/>
        <w:lang w:val="fr-FR"/>
      </w:rPr>
    </w:pPr>
    <w:r w:rsidRPr="000B7712">
      <w:rPr>
        <w:noProof/>
        <w:lang w:val="fr-FR"/>
      </w:rPr>
      <w:t>Packet Tracer : mettre en œuvre un schéma d’adressage IPv6 divisé en sous-réseaux</w:t>
    </w:r>
    <w:r w:rsidR="00695406" w:rsidRPr="000B7712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95406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0DC9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E2E2E"/>
    <w:multiLevelType w:val="hybridMultilevel"/>
    <w:tmpl w:val="923475DE"/>
    <w:lvl w:ilvl="0" w:tplc="28F21DC8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336C3D70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B7712"/>
    <w:rsid w:val="00361B0A"/>
    <w:rsid w:val="00411B83"/>
    <w:rsid w:val="004A5BC5"/>
    <w:rsid w:val="00521BD0"/>
    <w:rsid w:val="00590176"/>
    <w:rsid w:val="00695406"/>
    <w:rsid w:val="00803AC8"/>
    <w:rsid w:val="008301AD"/>
    <w:rsid w:val="00921046"/>
    <w:rsid w:val="0093273F"/>
    <w:rsid w:val="009A224F"/>
    <w:rsid w:val="00C811DB"/>
    <w:rsid w:val="00D95165"/>
    <w:rsid w:val="00E63D21"/>
    <w:rsid w:val="00E8551F"/>
    <w:rsid w:val="00EF08F9"/>
    <w:rsid w:val="00F16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Batang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fr-BE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fr-BE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301AD"/>
    <w:pPr>
      <w:keepNext/>
      <w:numPr>
        <w:numId w:val="6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  <w:lang w:val="fr-BE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  <w:lang w:val="fr-BE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fr-BE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lang w:val="fr-BE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lang w:val="fr-BE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bdr w:val="none" w:sz="0" w:space="0" w:color="auto"/>
      <w:lang w:val="fr-BE"/>
    </w:rPr>
  </w:style>
  <w:style w:type="numbering" w:customStyle="1" w:styleId="BulletList">
    <w:name w:val="Bullet_List"/>
    <w:basedOn w:val="NoList"/>
    <w:uiPriority w:val="99"/>
    <w:rsid w:val="00AC507D"/>
  </w:style>
  <w:style w:type="numbering" w:customStyle="1" w:styleId="PartStepSubStepList">
    <w:name w:val="Part_Step_SubStep_List"/>
    <w:basedOn w:val="NoList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  <w:lang w:val="fr-BE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  <w:lang w:val="fr-B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  <w:lang w:val="fr-BE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  <w:lang w:val="fr-BE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  <w:lang w:val="fr-BE"/>
    </w:rPr>
  </w:style>
  <w:style w:type="paragraph" w:styleId="ListBullet">
    <w:name w:val="List Bullet"/>
    <w:basedOn w:val="Normal"/>
    <w:rsid w:val="00421FF6"/>
    <w:pPr>
      <w:numPr>
        <w:numId w:val="5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A5499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8E6D61-7129-4171-A826-360AFC8B38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28CE48-0ED4-44DE-BC50-73E9BF433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Windows User</cp:lastModifiedBy>
  <cp:revision>11</cp:revision>
  <cp:lastPrinted>2013-02-24T01:37:00Z</cp:lastPrinted>
  <dcterms:created xsi:type="dcterms:W3CDTF">2013-10-10T06:34:00Z</dcterms:created>
  <dcterms:modified xsi:type="dcterms:W3CDTF">2013-12-23T08:39:00Z</dcterms:modified>
</cp:coreProperties>
</file>