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color w:val="1A1A6E"/>
          <w:sz w:val="32"/>
          <w:szCs w:val="32"/>
        </w:rPr>
        <w:t xml:space="preserve">A Semi-Parametric Neural Additive Model for Radiation Dose–Response: Sensitivity Analysis of Baseline Assumptions in the Life Span Study</w:t>
      </w:r>
    </w:p>
    <w:p>
      <w:pPr>
        <w:spacing w:after="160" w:before="0"/>
        <w:jc w:val="center"/>
      </w:pPr>
      <w:r>
        <w:rPr>
          <w:rFonts w:ascii="Times New Roman" w:cs="Times New Roman" w:eastAsia="Times New Roman" w:hAnsi="Times New Roman"/>
          <w:i/>
          <w:iCs/>
          <w:color w:val="444444"/>
          <w:sz w:val="22"/>
          <w:szCs w:val="22"/>
        </w:rPr>
        <w:t xml:space="preserve">[Author Names Blinded for Review]</w:t>
      </w:r>
    </w:p>
    <w:p>
      <w:pPr>
        <w:spacing w:after="400" w:before="0"/>
        <w:jc w:val="center"/>
      </w:pPr>
      <w:r>
        <w:rPr>
          <w:rFonts w:ascii="Times New Roman" w:cs="Times New Roman" w:eastAsia="Times New Roman" w:hAnsi="Times New Roman"/>
          <w:color w:val="666666"/>
          <w:sz w:val="20"/>
          <w:szCs w:val="20"/>
        </w:rPr>
        <w:t xml:space="preserve">[Institutional Affiliations Blinded for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EF2FB" w:val="clear"/>
            <w:tcMar>
              <w:top w:type="dxa" w:w="160"/>
              <w:left w:type="dxa" w:w="200"/>
              <w:bottom w:type="dxa" w:w="160"/>
              <w:right w:type="dxa" w:w="200"/>
            </w:tcMar>
          </w:tcPr>
          <w:p>
            <w:pPr>
              <w:spacing w:after="80" w:before="0"/>
            </w:pPr>
            <w:r>
              <w:rPr>
                <w:rFonts w:ascii="Times New Roman" w:cs="Times New Roman" w:eastAsia="Times New Roman" w:hAnsi="Times New Roman"/>
                <w:b/>
                <w:bCs/>
                <w:color w:val="1A1A6E"/>
                <w:sz w:val="22"/>
                <w:szCs w:val="22"/>
              </w:rPr>
              <w:t xml:space="preserve">ABSTRACT</w:t>
            </w:r>
          </w:p>
          <w:p>
            <w:pPr>
              <w:spacing w:after="80" w:before="80" w:line="360" w:lineRule="auto"/>
              <w:jc w:val="both"/>
            </w:pPr>
            <w:r>
              <w:rPr>
                <w:rFonts w:ascii="Times New Roman" w:cs="Times New Roman" w:eastAsia="Times New Roman" w:hAnsi="Times New Roman"/>
                <w:sz w:val="22"/>
                <w:szCs w:val="22"/>
              </w:rPr>
              <w:t xml:space="preserve">The linear no-threshold (LNT) model remains the regulatory default for low-dose radiation risk, yet the shape of the human dose–response at doses below 200 mGy is empirically unresolved. We introduce a Semi-Parametric Neural Generative Additive Model (NGAM) applied to the Life Span Study Report 14 (LSS-14) cohort of atomic bomb survivors, which provides the most detailed individual-level radiation and cancer incidence data available. The NGAM separates demographic confounding from dose-related nonlinearity through a staged training procedure: demographic predictors are captured by a Poisson generalised linear model (GLM), and a zero-centred neural network branch then learns the residual dose–response shape from individual person-year records without requiring pre-binned Excess Relative Risk (ERR) estimates. Bootstrap uncertainty quantification with n = 200 replicates provides confidence intervals across the full 0–4 Gy dose range. Under standard assumptions (δ = 0%), the NGAM recovers a dose–response consistent with a monotonically increasing relationship (median log RR = 0.023 at 0.1 Gy; 95% CI: −0.003, 0.033), validating the methodology against established findings. A systematic sensitivity analysis then applies upward baseline corrections of δ = 10%, 20%, and 30% to the demographic offset — operationalising the Doss (2013) hypothesis that the LSS reference group may exhibit suppressed cancer rates if hormesis is real. Under a 20% correction, the median dose–response curve becomes sub-linear below 0.5 Gy (median log RR = −0.181 at 0.2 Gy; 95% CI: −0.267, −0.038), with statistically detectable hormetic curvature. The minimum baseline correction required to produce statistically detectable sub-linearity lies between 10% and 20%, a range that overlaps with independent epidemiological estimates. This analysis does not resolve whether LNT or hormesis better describes the true biological relationship; rather, it quantifies the baseline conditions under which each model is consistent with the LSS data, providing a framework for future evaluation as additional low-dose data become available.</w:t>
            </w:r>
          </w:p>
          <w:p>
            <w:pPr>
              <w:spacing w:after="0" w:before="12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radiation dose–response; Life Span Study; neural additive model; linear no-threshold; hormesis; Poisson regression; semi-parametric; bootstrap inference; baseline bias; sensitivity analysis</w:t>
            </w:r>
          </w:p>
        </w:tc>
      </w:tr>
    </w:tbl>
    <w:p>
      <w:pPr>
        <w:spacing w:after="0" w:before="360"/>
      </w:pPr>
    </w:p>
    <w:p>
      <w:pPr>
        <w:spacing w:after="120" w:before="360"/>
      </w:pPr>
      <w:r>
        <w:rPr>
          <w:rFonts w:ascii="Times New Roman" w:cs="Times New Roman" w:eastAsia="Times New Roman" w:hAnsi="Times New Roman"/>
          <w:b/>
          <w:bCs/>
          <w:color w:val="1A1A6E"/>
          <w:sz w:val="32"/>
          <w:szCs w:val="32"/>
        </w:rPr>
        <w:t xml:space="preserve">1. Introduction</w:t>
      </w:r>
    </w:p>
    <w:p>
      <w:pPr>
        <w:spacing w:after="80" w:before="80" w:line="360" w:lineRule="auto"/>
        <w:jc w:val="both"/>
      </w:pPr>
      <w:r>
        <w:rPr>
          <w:rFonts w:ascii="Times New Roman" w:cs="Times New Roman" w:eastAsia="Times New Roman" w:hAnsi="Times New Roman"/>
          <w:sz w:val="22"/>
          <w:szCs w:val="22"/>
        </w:rPr>
        <w:t xml:space="preserve">The linear no-threshold (LNT) model — which assumes that radiation carcinogenesis risk is proportional to dose from zero upward with no safe threshold — has served as the foundation of radiation protection policy for over six decades. Its adoption was formalised in the landmark BEIR VII report </w:t>
      </w: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22"/>
          <w:szCs w:val="22"/>
        </w:rPr>
        <w:t xml:space="preserve"> and is supported by the mechanistic rationale that ionising radiation causes DNA double-strand breaks at any dose, and that a single unrepaired break could in principle initiate malignant transformation. The Life Span Study (LSS) cohort of Japanese atomic bomb survivors provides the most powerful single dataset for empirically testing this model, with individual-level dosimetry, cancer outcome data spanning more than 60 years of follow-up, and exposures spanning the full range from near-zero to several grey.</w:t>
      </w:r>
    </w:p>
    <w:p>
      <w:pPr>
        <w:spacing w:after="80" w:before="80" w:line="360" w:lineRule="auto"/>
        <w:jc w:val="both"/>
      </w:pPr>
      <w:r>
        <w:rPr>
          <w:rFonts w:ascii="Times New Roman" w:cs="Times New Roman" w:eastAsia="Times New Roman" w:hAnsi="Times New Roman"/>
          <w:sz w:val="22"/>
          <w:szCs w:val="22"/>
        </w:rPr>
        <w:t xml:space="preserve">LSS Report 14 (Ozasa et al., 2012) </w:t>
      </w:r>
      <w:r>
        <w:rPr>
          <w:rFonts w:ascii="Times New Roman" w:cs="Times New Roman" w:eastAsia="Times New Roman" w:hAnsi="Times New Roman"/>
          <w:sz w:val="18"/>
          <w:szCs w:val="18"/>
          <w:vertAlign w:val="superscript"/>
        </w:rPr>
        <w:t xml:space="preserve">[2]</w:t>
      </w:r>
      <w:r>
        <w:rPr>
          <w:rFonts w:ascii="Times New Roman" w:cs="Times New Roman" w:eastAsia="Times New Roman" w:hAnsi="Times New Roman"/>
          <w:sz w:val="22"/>
          <w:szCs w:val="22"/>
        </w:rPr>
        <w:t xml:space="preserve">, the most recent comprehensive analysis of solid cancer incidence in this cohort, estimated a significant excess relative risk (ERR) for solid cancers of approximately 0.47 Gy</w:t>
      </w: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22"/>
          <w:szCs w:val="22"/>
        </w:rPr>
        <w:t xml:space="preserve"> (95% CI: 0.40–0.55), consistent with a broadly linear dose–response. However, the authors also noted that a linear-quadratic model provided a marginally better fit, and that the lowest-dose groups — those most relevant for evaluating LNT in the policy-relevant range below 200 mGy — carried the widest uncertainty intervals. The statistical power of the LSS to discriminate between linear and non-linear models in the low-dose range is fundamentally limited by the small absolute number of excess cancers attributable to radiation in dose bins below 100 mGy.</w:t>
      </w:r>
    </w:p>
    <w:p>
      <w:pPr>
        <w:spacing w:after="80" w:before="80" w:line="360" w:lineRule="auto"/>
        <w:jc w:val="both"/>
      </w:pPr>
      <w:r>
        <w:rPr>
          <w:rFonts w:ascii="Times New Roman" w:cs="Times New Roman" w:eastAsia="Times New Roman" w:hAnsi="Times New Roman"/>
          <w:sz w:val="22"/>
          <w:szCs w:val="22"/>
        </w:rPr>
        <w:t xml:space="preserve">A competing hypothesis, radiation hormesis, proposes that low-dose radiation may paradoxically reduce cancer risk relative to the zero-dose baseline, mediated through stimulation of DNA repair, immune surveillance, and antioxidant pathways. Preston et al. (2003) </w:t>
      </w:r>
      <w:r>
        <w:rPr>
          <w:rFonts w:ascii="Times New Roman" w:cs="Times New Roman" w:eastAsia="Times New Roman" w:hAnsi="Times New Roman"/>
          <w:sz w:val="18"/>
          <w:szCs w:val="18"/>
          <w:vertAlign w:val="superscript"/>
        </w:rPr>
        <w:t xml:space="preserve">[3]</w:t>
      </w:r>
      <w:r>
        <w:rPr>
          <w:rFonts w:ascii="Times New Roman" w:cs="Times New Roman" w:eastAsia="Times New Roman" w:hAnsi="Times New Roman"/>
          <w:sz w:val="22"/>
          <w:szCs w:val="22"/>
        </w:rPr>
        <w:t xml:space="preserve"> and Little et al. (2009) </w:t>
      </w:r>
      <w:r>
        <w:rPr>
          <w:rFonts w:ascii="Times New Roman" w:cs="Times New Roman" w:eastAsia="Times New Roman" w:hAnsi="Times New Roman"/>
          <w:sz w:val="18"/>
          <w:szCs w:val="18"/>
          <w:vertAlign w:val="superscript"/>
        </w:rPr>
        <w:t xml:space="preserve">[4]</w:t>
      </w:r>
      <w:r>
        <w:rPr>
          <w:rFonts w:ascii="Times New Roman" w:cs="Times New Roman" w:eastAsia="Times New Roman" w:hAnsi="Times New Roman"/>
          <w:sz w:val="22"/>
          <w:szCs w:val="22"/>
        </w:rPr>
        <w:t xml:space="preserve"> have argued that the evidence for such an adaptive response is insufficient to displace LNT as a policy basis. Doss (2013) </w:t>
      </w:r>
      <w:r>
        <w:rPr>
          <w:rFonts w:ascii="Times New Roman" w:cs="Times New Roman" w:eastAsia="Times New Roman" w:hAnsi="Times New Roman"/>
          <w:sz w:val="18"/>
          <w:szCs w:val="18"/>
          <w:vertAlign w:val="superscript"/>
        </w:rPr>
        <w:t xml:space="preserve">[5]</w:t>
      </w:r>
      <w:r>
        <w:rPr>
          <w:rFonts w:ascii="Times New Roman" w:cs="Times New Roman" w:eastAsia="Times New Roman" w:hAnsi="Times New Roman"/>
          <w:sz w:val="22"/>
          <w:szCs w:val="22"/>
        </w:rPr>
        <w:t xml:space="preserve">, however, raised a methodological concern specific to the LSS: if the reference group — those in the lowest exposure category — themselves received doses sufficient to stimulate adaptive responses, their cancer rates would be artificially suppressed. ERR values computed against this biased baseline would systematically understate relative risk at all doses, and a linear extrapolation from such values would incorrectly characterise the shape of the true dose–response in the zero-dose vicinity. Doss estimated this bias at approximately 20%, drawing on the Taiwan Co-60 apartment cohort (Hwang et al., 2006 </w:t>
      </w:r>
      <w:r>
        <w:rPr>
          <w:rFonts w:ascii="Times New Roman" w:cs="Times New Roman" w:eastAsia="Times New Roman" w:hAnsi="Times New Roman"/>
          <w:sz w:val="18"/>
          <w:szCs w:val="18"/>
          <w:vertAlign w:val="superscript"/>
        </w:rPr>
        <w:t xml:space="preserve">[6]</w:t>
      </w:r>
      <w:r>
        <w:rPr>
          <w:rFonts w:ascii="Times New Roman" w:cs="Times New Roman" w:eastAsia="Times New Roman" w:hAnsi="Times New Roman"/>
          <w:sz w:val="22"/>
          <w:szCs w:val="22"/>
        </w:rPr>
        <w:t xml:space="preserve">), which reported a standardised incidence ratio for solid cancers of approximately 0.70 relative to the general population.</w:t>
      </w:r>
    </w:p>
    <w:p>
      <w:pPr>
        <w:spacing w:after="80" w:before="80" w:line="360" w:lineRule="auto"/>
        <w:jc w:val="both"/>
      </w:pPr>
      <w:r>
        <w:rPr>
          <w:rFonts w:ascii="Times New Roman" w:cs="Times New Roman" w:eastAsia="Times New Roman" w:hAnsi="Times New Roman"/>
          <w:sz w:val="22"/>
          <w:szCs w:val="22"/>
        </w:rPr>
        <w:t xml:space="preserve">Traditional approaches to fitting the LSS dose–response — including the parametric models in Ozasa et al. and spline analyses conducted by Doss himself — share a common limitation: they compute dose–response as a function of pre-binned ERR statistics. When the true excess is small relative to the background rate, subtracting these near-equal quantities amplifies relative statistical noise before any curve-fitting begins. Furthermore, parametric models resolve model uncertainty by imposing functional form (linear, linear-quadratic, threshold), which forecloses the possibility of detecting unexpected shapes. Flexible nonparametric methods have not previously been applied to the raw individual-level LSS data in a way that simultaneously accounts for demographic confounding, preserves all statistical information at the individual record level, and quantifies uncertainty across the full dose range.</w:t>
      </w:r>
    </w:p>
    <w:p>
      <w:pPr>
        <w:spacing w:after="80" w:before="80" w:line="360" w:lineRule="auto"/>
        <w:jc w:val="both"/>
      </w:pPr>
      <w:r>
        <w:rPr>
          <w:rFonts w:ascii="Times New Roman" w:cs="Times New Roman" w:eastAsia="Times New Roman" w:hAnsi="Times New Roman"/>
          <w:sz w:val="22"/>
          <w:szCs w:val="22"/>
        </w:rPr>
        <w:t xml:space="preserve">We address this gap by introducing a Semi-Parametric Neural Generative Additive Model (NGAM) applied directly to the LSS-14 individual-level person-year records. The approach separates demographic confounding from dose-related nonlinearity through staged training, avoids ERR binning, and uses bootstrap resampling to characterise uncertainty. We then conduct a systematic sensitivity analysis in which the demographic baseline is shifted upward by δ ∈ {0%, 10%, 20%, 30%} to operationalise the Doss hypothesis as an unknown parameter rather than a fixed assumption. The primary output is not a claim about which model is correct, but a quantification of the minimum baseline conditions under which sub-linear curvature becomes statistically detectable in this dataset.</w:t>
      </w:r>
    </w:p>
    <w:p>
      <w:pPr>
        <w:spacing w:after="80" w:before="80" w:line="360" w:lineRule="auto"/>
        <w:jc w:val="both"/>
      </w:pPr>
      <w:r>
        <w:rPr>
          <w:rFonts w:ascii="Times New Roman" w:cs="Times New Roman" w:eastAsia="Times New Roman" w:hAnsi="Times New Roman"/>
          <w:sz w:val="22"/>
          <w:szCs w:val="22"/>
        </w:rPr>
        <w:t xml:space="preserve">The paper is organised as follows. Section 2 describes the LSS-14 dataset and the preprocessing pipeline. Section 3 presents the NGAM architecture and the staged training procedure. Section 4 reports model validation experiments including synthetic data recovery and architecture ablation. Section 5 presents the main dose–response results and bias sensitivity analysis. Section 6 discusses implications, limitations, and directions for future work.</w:t>
      </w:r>
    </w:p>
    <w:p>
      <w:pPr>
        <w:spacing w:after="120" w:before="360"/>
      </w:pPr>
      <w:r>
        <w:rPr>
          <w:rFonts w:ascii="Times New Roman" w:cs="Times New Roman" w:eastAsia="Times New Roman" w:hAnsi="Times New Roman"/>
          <w:b/>
          <w:bCs/>
          <w:color w:val="1A1A6E"/>
          <w:sz w:val="32"/>
          <w:szCs w:val="32"/>
        </w:rPr>
        <w:t xml:space="preserve">2. Data</w:t>
      </w:r>
    </w:p>
    <w:p>
      <w:pPr>
        <w:spacing w:after="120" w:before="240"/>
      </w:pPr>
      <w:r>
        <w:rPr>
          <w:rFonts w:ascii="Times New Roman" w:cs="Times New Roman" w:eastAsia="Times New Roman" w:hAnsi="Times New Roman"/>
          <w:b/>
          <w:bCs/>
          <w:color w:val="000000"/>
          <w:sz w:val="26"/>
          <w:szCs w:val="26"/>
        </w:rPr>
        <w:t xml:space="preserve">2.1 The Life Span Study Report 14 Dataset</w:t>
      </w:r>
    </w:p>
    <w:p>
      <w:pPr>
        <w:spacing w:after="80" w:before="80" w:line="360" w:lineRule="auto"/>
        <w:jc w:val="both"/>
      </w:pPr>
      <w:r>
        <w:rPr>
          <w:rFonts w:ascii="Times New Roman" w:cs="Times New Roman" w:eastAsia="Times New Roman" w:hAnsi="Times New Roman"/>
          <w:sz w:val="22"/>
          <w:szCs w:val="22"/>
        </w:rPr>
        <w:t xml:space="preserve">The primary data source is the publicly documented LSS Report 14 dataset (lss14.csv), encompassing solid cancer incidence among atomic bomb survivors in Hiroshima and Nagasaki, Japan. The dataset contains individual-level records aggregated by demographic stratum, with the following key variables: attained age (age), age at exposure (agex), sex, city of exposure (Hiroshima or Nagasaki), calendar time period (ctime), ground distance category (gd3), smoking history (ahs), person-years at risk (pyr), solid cancer incidence count (solid), and weighted colon dose in mGy (colon10).</w:t>
      </w:r>
    </w:p>
    <w:p>
      <w:pPr>
        <w:spacing w:after="80" w:before="80" w:line="360" w:lineRule="auto"/>
        <w:jc w:val="both"/>
      </w:pPr>
      <w:r>
        <w:rPr>
          <w:rFonts w:ascii="Times New Roman" w:cs="Times New Roman" w:eastAsia="Times New Roman" w:hAnsi="Times New Roman"/>
          <w:sz w:val="22"/>
          <w:szCs w:val="22"/>
        </w:rPr>
        <w:t xml:space="preserve">Dose was expressed in grey (Gy) by dividing the colon10 variable by 1,000. Records were retained for analysis if dose ≥ 0 Gy, person-years &gt; 0, attained age &gt; 0, and age at exposure &gt; 0. The maximum dose in the cleaned dataset was 3.72 Gy. Following these filters, the analytic dataset contained all records meeting these criteria across the full follow-up period.</w:t>
      </w:r>
    </w:p>
    <w:p>
      <w:pPr>
        <w:spacing w:after="120" w:before="240"/>
      </w:pPr>
      <w:r>
        <w:rPr>
          <w:rFonts w:ascii="Times New Roman" w:cs="Times New Roman" w:eastAsia="Times New Roman" w:hAnsi="Times New Roman"/>
          <w:b/>
          <w:bCs/>
          <w:color w:val="000000"/>
          <w:sz w:val="26"/>
          <w:szCs w:val="26"/>
        </w:rPr>
        <w:t xml:space="preserve">2.2 Data Structure and Dose Distribution</w:t>
      </w:r>
    </w:p>
    <w:p>
      <w:pPr>
        <w:spacing w:after="80" w:before="80" w:line="360" w:lineRule="auto"/>
        <w:jc w:val="both"/>
      </w:pPr>
      <w:r>
        <w:rPr>
          <w:rFonts w:ascii="Times New Roman" w:cs="Times New Roman" w:eastAsia="Times New Roman" w:hAnsi="Times New Roman"/>
          <w:sz w:val="22"/>
          <w:szCs w:val="22"/>
        </w:rPr>
        <w:t xml:space="preserve">The analytic unit is the demographic stratum-period cell: each record represents all individuals sharing a given combination of city, sex, calendar period, ground-distance category, smoking history, attained age category, and age-at-exposure category, with the associated total person-years and solid cancer count. This structure enables direct Poisson modelling of cancer rates as a function of demographic predictors and dose without requiring individual-level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100"/>
        <w:gridCol w:w="2960"/>
      </w:tblGrid>
      <w:tr>
        <w:trPr>
          <w:tblHeader/>
        </w:trPr>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Dose Range (Gy)</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Approximate Person-Years</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Solid Cancer Cases</w:t>
            </w:r>
          </w:p>
        </w:tc>
        <w:tc>
          <w:tcPr>
            <w:tcW w:type="dxa" w:w="2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Notes</w:t>
            </w:r>
          </w:p>
        </w:tc>
      </w:tr>
      <w:tr>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0.00 – 0.005</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~3,500,000</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~8,800</w:t>
            </w:r>
          </w:p>
        </w:tc>
        <w:tc>
          <w:tcPr>
            <w:tcW w:type="dxa" w:w="2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Reference / near-zero exposure</w:t>
            </w:r>
          </w:p>
        </w:tc>
      </w:tr>
      <w:tr>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0.005 – 0.10</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~1,200,000</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~3,200</w:t>
            </w:r>
          </w:p>
        </w:tc>
        <w:tc>
          <w:tcPr>
            <w:tcW w:type="dxa" w:w="2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Low-dose zone; primary LNT test range</w:t>
            </w:r>
          </w:p>
        </w:tc>
      </w:tr>
      <w:tr>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0.10 – 0.50</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~650,000</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~2,100</w:t>
            </w:r>
          </w:p>
        </w:tc>
        <w:tc>
          <w:tcPr>
            <w:tcW w:type="dxa" w:w="2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Moderate dose; improving signal-to-noise</w:t>
            </w:r>
          </w:p>
        </w:tc>
      </w:tr>
      <w:tr>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0.50 – 1.00</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~250,000</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~900</w:t>
            </w:r>
          </w:p>
        </w:tc>
        <w:tc>
          <w:tcPr>
            <w:tcW w:type="dxa" w:w="2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Transition zone</w:t>
            </w:r>
          </w:p>
        </w:tc>
      </w:tr>
      <w:tr>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 – 2.00</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~120,000</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~550</w:t>
            </w:r>
          </w:p>
        </w:tc>
        <w:tc>
          <w:tcPr>
            <w:tcW w:type="dxa" w:w="2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Clear excess visible</w:t>
            </w:r>
          </w:p>
        </w:tc>
      </w:tr>
      <w:tr>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2.00 – 3.72</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~50,000</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~280</w:t>
            </w:r>
          </w:p>
        </w:tc>
        <w:tc>
          <w:tcPr>
            <w:tcW w:type="dxa" w:w="2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High dose; fewest subjects</w:t>
            </w:r>
          </w:p>
        </w:tc>
      </w:tr>
    </w:tbl>
    <w:p>
      <w:pPr>
        <w:spacing w:after="200" w:before="60"/>
      </w:pPr>
      <w:r>
        <w:rPr>
          <w:rFonts w:ascii="Times New Roman" w:cs="Times New Roman" w:eastAsia="Times New Roman" w:hAnsi="Times New Roman"/>
          <w:i/>
          <w:iCs/>
          <w:sz w:val="18"/>
          <w:szCs w:val="18"/>
        </w:rPr>
        <w:t xml:space="preserve">Table 1. Approximate dose bin distribution in the LSS-14 analytic dataset. Person-year and case counts are indicative; exact figures depend on the filtered cohort.</w:t>
      </w:r>
    </w:p>
    <w:p>
      <w:pPr>
        <w:spacing w:after="80" w:before="80" w:line="360" w:lineRule="auto"/>
        <w:jc w:val="both"/>
      </w:pPr>
      <w:r>
        <w:rPr>
          <w:rFonts w:ascii="Times New Roman" w:cs="Times New Roman" w:eastAsia="Times New Roman" w:hAnsi="Times New Roman"/>
          <w:sz w:val="22"/>
          <w:szCs w:val="22"/>
        </w:rPr>
        <w:t xml:space="preserve">The sparse data below 100 mGy — the range most relevant for discriminating LNT from hormesis — has important implications for model inference, which are discussed explicitly in Sections 4 and 6.</w:t>
      </w:r>
    </w:p>
    <w:p>
      <w:pPr>
        <w:spacing w:after="120" w:before="360"/>
      </w:pPr>
      <w:r>
        <w:rPr>
          <w:rFonts w:ascii="Times New Roman" w:cs="Times New Roman" w:eastAsia="Times New Roman" w:hAnsi="Times New Roman"/>
          <w:b/>
          <w:bCs/>
          <w:color w:val="1A1A6E"/>
          <w:sz w:val="32"/>
          <w:szCs w:val="32"/>
        </w:rPr>
        <w:t xml:space="preserve">3. Methods</w:t>
      </w:r>
    </w:p>
    <w:p>
      <w:pPr>
        <w:spacing w:after="120" w:before="240"/>
      </w:pPr>
      <w:r>
        <w:rPr>
          <w:rFonts w:ascii="Times New Roman" w:cs="Times New Roman" w:eastAsia="Times New Roman" w:hAnsi="Times New Roman"/>
          <w:b/>
          <w:bCs/>
          <w:color w:val="000000"/>
          <w:sz w:val="26"/>
          <w:szCs w:val="26"/>
        </w:rPr>
        <w:t xml:space="preserve">3.1 Model Development: From Joint NGAM to Staged Training</w:t>
      </w:r>
    </w:p>
    <w:p>
      <w:pPr>
        <w:spacing w:after="80" w:before="80" w:line="360" w:lineRule="auto"/>
        <w:jc w:val="both"/>
      </w:pPr>
      <w:r>
        <w:rPr>
          <w:rFonts w:ascii="Times New Roman" w:cs="Times New Roman" w:eastAsia="Times New Roman" w:hAnsi="Times New Roman"/>
          <w:sz w:val="22"/>
          <w:szCs w:val="22"/>
        </w:rPr>
        <w:t xml:space="preserve">An initial implementation trained demographic confounders and the dose branch jointly within a single neural additive model (Model 1, henceforth). In this architecture, a linear branch receiving age, sex, city, calendar time, ground-distance, and smoking history covariates shared gradient updates with a small multilayer perceptron (MLP) receiving dose. While architecturally straightforward, bootstrap evaluation of Model 1 revealed substantial instability in the learned dose–response shape. Most notably, a pronounced dip appeared near 1 Gy across many bootstrap replicates, a feature that did not survive changes in network architecture or regularisation strength, and which co-localised with a region of markedly reduced data density (see Supplementary Figure S1). This behaviour is consistent with the network capturing noise in low-count dose bins rather than a true biological signal.</w:t>
      </w:r>
    </w:p>
    <w:p>
      <w:pPr>
        <w:spacing w:after="80" w:before="80" w:line="360" w:lineRule="auto"/>
        <w:jc w:val="both"/>
      </w:pPr>
      <w:r>
        <w:rPr>
          <w:rFonts w:ascii="Times New Roman" w:cs="Times New Roman" w:eastAsia="Times New Roman" w:hAnsi="Times New Roman"/>
          <w:sz w:val="22"/>
          <w:szCs w:val="22"/>
        </w:rPr>
        <w:t xml:space="preserve">This instability motivated the design of Model 2, the primary model presented in this paper, which employs a staged training procedure that structurally prevents demographic confounding from being attributed to dose.</w:t>
      </w:r>
    </w:p>
    <w:p>
      <w:pPr>
        <w:spacing w:after="120" w:before="240"/>
      </w:pPr>
      <w:r>
        <w:rPr>
          <w:rFonts w:ascii="Times New Roman" w:cs="Times New Roman" w:eastAsia="Times New Roman" w:hAnsi="Times New Roman"/>
          <w:b/>
          <w:bCs/>
          <w:color w:val="000000"/>
          <w:sz w:val="26"/>
          <w:szCs w:val="26"/>
        </w:rPr>
        <w:t xml:space="preserve">3.2 Primary Model: Staged Semi-Parametric NGAM</w:t>
      </w:r>
    </w:p>
    <w:p>
      <w:pPr>
        <w:spacing w:after="80" w:before="80" w:line="360" w:lineRule="auto"/>
        <w:jc w:val="both"/>
      </w:pPr>
      <w:r>
        <w:rPr>
          <w:rFonts w:ascii="Times New Roman" w:cs="Times New Roman" w:eastAsia="Times New Roman" w:hAnsi="Times New Roman"/>
          <w:sz w:val="22"/>
          <w:szCs w:val="22"/>
        </w:rPr>
        <w:t xml:space="preserve">The staged NGAM decomposes the log cancer rate into three additive terms:</w:t>
      </w:r>
    </w:p>
    <w:p>
      <w:pPr>
        <w:spacing w:after="120" w:before="120"/>
        <w:jc w:val="center"/>
      </w:pPr>
      <w:r>
        <w:rPr>
          <w:rFonts w:ascii="Times New Roman" w:cs="Times New Roman" w:eastAsia="Times New Roman" w:hAnsi="Times New Roman"/>
          <w:sz w:val="22"/>
          <w:szCs w:val="22"/>
        </w:rPr>
        <w:t xml:space="preserve">log λ = log(PYR) + g(x_lin; β) + f(dose)</w:t>
      </w:r>
    </w:p>
    <w:p>
      <w:pPr>
        <w:spacing w:after="80" w:before="80" w:line="360" w:lineRule="auto"/>
        <w:jc w:val="both"/>
      </w:pPr>
      <w:r>
        <w:rPr>
          <w:rFonts w:ascii="Times New Roman" w:cs="Times New Roman" w:eastAsia="Times New Roman" w:hAnsi="Times New Roman"/>
          <w:sz w:val="22"/>
          <w:szCs w:val="22"/>
        </w:rPr>
        <w:t xml:space="preserve">where log(PYR) is the log person-years offset, g(x_lin; β) is a linear log-rate function of demographic covariates estimated by a Poisson GLM, and f(dose) is a smooth nonparametric function of dose estimated by a neural MLP. The key constraint is that f(0) = 0 by construction, so the learned curve represents the log relative risk attributable to dose relative to the zero-dose baseline.</w:t>
      </w:r>
    </w:p>
    <w:p>
      <w:pPr>
        <w:spacing w:after="120" w:before="240"/>
      </w:pPr>
      <w:r>
        <w:rPr>
          <w:rFonts w:ascii="Times New Roman" w:cs="Times New Roman" w:eastAsia="Times New Roman" w:hAnsi="Times New Roman"/>
          <w:b/>
          <w:bCs/>
          <w:color w:val="000000"/>
          <w:sz w:val="24"/>
          <w:szCs w:val="24"/>
        </w:rPr>
        <w:t xml:space="preserve">3.2.1 Stage 1: Demographic Poisson GLM</w:t>
      </w:r>
    </w:p>
    <w:p>
      <w:pPr>
        <w:spacing w:after="80" w:before="80" w:line="360" w:lineRule="auto"/>
        <w:jc w:val="both"/>
      </w:pPr>
      <w:r>
        <w:rPr>
          <w:rFonts w:ascii="Times New Roman" w:cs="Times New Roman" w:eastAsia="Times New Roman" w:hAnsi="Times New Roman"/>
          <w:sz w:val="22"/>
          <w:szCs w:val="22"/>
        </w:rPr>
        <w:t xml:space="preserve">The demographic linear branch models the log cancer rate as a function of: log-attained-age, log-age-at-exposure, and dummy-encoded city (Hiroshima/Nagasaki), sex, calendar period, ground-distance category, and smoking history stratum. An intercept is included. Dose is entirely excluded from this stage. The GLM is fitted by minimising the negative Poisson log-likelihood using L-BFGS-B optimisation:</w:t>
      </w:r>
    </w:p>
    <w:p>
      <w:pPr>
        <w:spacing w:after="120" w:before="120"/>
        <w:jc w:val="center"/>
      </w:pPr>
      <w:r>
        <w:rPr>
          <w:rFonts w:ascii="Times New Roman" w:cs="Times New Roman" w:eastAsia="Times New Roman" w:hAnsi="Times New Roman"/>
          <w:sz w:val="22"/>
          <w:szCs w:val="22"/>
        </w:rPr>
        <w:t xml:space="preserve">NLL(β) = Σ_i [exp(x_i β + offset_i) − y_i (x_i β + offset_i)]</w:t>
      </w:r>
    </w:p>
    <w:p>
      <w:pPr>
        <w:spacing w:after="80" w:before="80" w:line="360" w:lineRule="auto"/>
        <w:jc w:val="both"/>
      </w:pPr>
      <w:r>
        <w:rPr>
          <w:rFonts w:ascii="Times New Roman" w:cs="Times New Roman" w:eastAsia="Times New Roman" w:hAnsi="Times New Roman"/>
          <w:sz w:val="22"/>
          <w:szCs w:val="22"/>
        </w:rPr>
        <w:t xml:space="preserve">Convergence was confirmed by both the gradient norm criterion (‖∇NLL‖ &lt; 10</w:t>
      </w:r>
      <w:r>
        <w:rPr>
          <w:rFonts w:ascii="Times New Roman" w:cs="Times New Roman" w:eastAsia="Times New Roman" w:hAnsi="Times New Roman"/>
          <w:sz w:val="18"/>
          <w:szCs w:val="18"/>
          <w:vertAlign w:val="superscript"/>
        </w:rPr>
        <w:t xml:space="preserve">−8</w:t>
      </w:r>
      <w:r>
        <w:rPr>
          <w:rFonts w:ascii="Times New Roman" w:cs="Times New Roman" w:eastAsia="Times New Roman" w:hAnsi="Times New Roman"/>
          <w:sz w:val="22"/>
          <w:szCs w:val="22"/>
        </w:rPr>
        <w:t xml:space="preserve">) and the function tolerance (10</w:t>
      </w:r>
      <w:r>
        <w:rPr>
          <w:rFonts w:ascii="Times New Roman" w:cs="Times New Roman" w:eastAsia="Times New Roman" w:hAnsi="Times New Roman"/>
          <w:sz w:val="18"/>
          <w:szCs w:val="18"/>
          <w:vertAlign w:val="superscript"/>
        </w:rPr>
        <w:t xml:space="preserve">−12</w:t>
      </w:r>
      <w:r>
        <w:rPr>
          <w:rFonts w:ascii="Times New Roman" w:cs="Times New Roman" w:eastAsia="Times New Roman" w:hAnsi="Times New Roman"/>
          <w:sz w:val="22"/>
          <w:szCs w:val="22"/>
        </w:rPr>
        <w:t xml:space="preserve">). The fitted linear log-rate g(x_i; β̂) then serves as a fixed offset for Stage 2.</w:t>
      </w:r>
    </w:p>
    <w:p>
      <w:pPr>
        <w:spacing w:after="120" w:before="240"/>
      </w:pPr>
      <w:r>
        <w:rPr>
          <w:rFonts w:ascii="Times New Roman" w:cs="Times New Roman" w:eastAsia="Times New Roman" w:hAnsi="Times New Roman"/>
          <w:b/>
          <w:bCs/>
          <w:color w:val="000000"/>
          <w:sz w:val="24"/>
          <w:szCs w:val="24"/>
        </w:rPr>
        <w:t xml:space="preserve">3.2.2 Stage 2: Neural Dose Branch</w:t>
      </w:r>
    </w:p>
    <w:p>
      <w:pPr>
        <w:spacing w:after="80" w:before="80" w:line="360" w:lineRule="auto"/>
        <w:jc w:val="both"/>
      </w:pPr>
      <w:r>
        <w:rPr>
          <w:rFonts w:ascii="Times New Roman" w:cs="Times New Roman" w:eastAsia="Times New Roman" w:hAnsi="Times New Roman"/>
          <w:sz w:val="22"/>
          <w:szCs w:val="22"/>
        </w:rPr>
        <w:t xml:space="preserve">The dose branch comprises two sub-components: a single linear unit capturing the overall dose trend (analogous to an ERR coefficient), and a three-layer MLP with 16 units per hidden layer and SiLU activation functions, which captures any residual nonlinearity. The combined dose effect is:</w:t>
      </w:r>
    </w:p>
    <w:p>
      <w:pPr>
        <w:spacing w:after="120" w:before="120"/>
        <w:jc w:val="center"/>
      </w:pPr>
      <w:r>
        <w:rPr>
          <w:rFonts w:ascii="Times New Roman" w:cs="Times New Roman" w:eastAsia="Times New Roman" w:hAnsi="Times New Roman"/>
          <w:sz w:val="22"/>
          <w:szCs w:val="22"/>
        </w:rPr>
        <w:t xml:space="preserve">f(dose) = w_lin · dose + [MLP(dose) − MLP(0)]</w:t>
      </w:r>
    </w:p>
    <w:p>
      <w:pPr>
        <w:spacing w:after="80" w:before="80" w:line="360" w:lineRule="auto"/>
        <w:jc w:val="both"/>
      </w:pPr>
      <w:r>
        <w:rPr>
          <w:rFonts w:ascii="Times New Roman" w:cs="Times New Roman" w:eastAsia="Times New Roman" w:hAnsi="Times New Roman"/>
          <w:sz w:val="22"/>
          <w:szCs w:val="22"/>
        </w:rPr>
        <w:t xml:space="preserve">The subtraction of MLP(0) enforces the zero-centering constraint f(0) = 0 exactly, ensuring that the dose branch cannot absorb any contribution from the background cancer rate. The combined offset passed to the neural dose branch during training is:</w:t>
      </w:r>
    </w:p>
    <w:p>
      <w:pPr>
        <w:spacing w:after="120" w:before="120"/>
        <w:jc w:val="center"/>
      </w:pPr>
      <w:r>
        <w:rPr>
          <w:rFonts w:ascii="Times New Roman" w:cs="Times New Roman" w:eastAsia="Times New Roman" w:hAnsi="Times New Roman"/>
          <w:sz w:val="22"/>
          <w:szCs w:val="22"/>
        </w:rPr>
        <w:t xml:space="preserve">offset_combined = log(PYR) + g(x_i; β̂_b) + log(1 + δ/100)</w:t>
      </w:r>
    </w:p>
    <w:p>
      <w:pPr>
        <w:spacing w:after="80" w:before="80" w:line="360" w:lineRule="auto"/>
        <w:jc w:val="both"/>
      </w:pPr>
      <w:r>
        <w:rPr>
          <w:rFonts w:ascii="Times New Roman" w:cs="Times New Roman" w:eastAsia="Times New Roman" w:hAnsi="Times New Roman"/>
          <w:sz w:val="22"/>
          <w:szCs w:val="22"/>
        </w:rPr>
        <w:t xml:space="preserve">where β̂_b is the bootstrap replicate's GLM estimate, and the final term is the log-transformed bias correction parameter δ (described in Section 3.4). The neural dose branch is trained by minimising the full Poisson negative log-likelihood with respect to its parameters using Adam optimisation (learning rate 0.01, weight decay 10</w:t>
      </w:r>
      <w:r>
        <w:rPr>
          <w:rFonts w:ascii="Times New Roman" w:cs="Times New Roman" w:eastAsia="Times New Roman" w:hAnsi="Times New Roman"/>
          <w:sz w:val="18"/>
          <w:szCs w:val="18"/>
          <w:vertAlign w:val="superscript"/>
        </w:rPr>
        <w:t xml:space="preserve">−4</w:t>
      </w:r>
      <w:r>
        <w:rPr>
          <w:rFonts w:ascii="Times New Roman" w:cs="Times New Roman" w:eastAsia="Times New Roman" w:hAnsi="Times New Roman"/>
          <w:sz w:val="22"/>
          <w:szCs w:val="22"/>
        </w:rPr>
        <w:t xml:space="preserve">) with a cosine annealing learning rate schedule (T_max = 400 epochs, η_min = 10</w:t>
      </w:r>
      <w:r>
        <w:rPr>
          <w:rFonts w:ascii="Times New Roman" w:cs="Times New Roman" w:eastAsia="Times New Roman" w:hAnsi="Times New Roman"/>
          <w:sz w:val="18"/>
          <w:szCs w:val="18"/>
          <w:vertAlign w:val="superscript"/>
        </w:rPr>
        <w:t xml:space="preserve">−4</w:t>
      </w:r>
      <w:r>
        <w:rPr>
          <w:rFonts w:ascii="Times New Roman" w:cs="Times New Roman" w:eastAsia="Times New Roman" w:hAnsi="Times New Roman"/>
          <w:sz w:val="22"/>
          <w:szCs w:val="22"/>
        </w:rPr>
        <w:t xml:space="preserve">). Gradient clipping (max norm = 5.0) was applied to prevent instability.</w:t>
      </w:r>
    </w:p>
    <w:p>
      <w:pPr>
        <w:spacing w:after="120" w:before="240"/>
      </w:pPr>
      <w:r>
        <w:rPr>
          <w:rFonts w:ascii="Times New Roman" w:cs="Times New Roman" w:eastAsia="Times New Roman" w:hAnsi="Times New Roman"/>
          <w:b/>
          <w:bCs/>
          <w:color w:val="000000"/>
          <w:sz w:val="26"/>
          <w:szCs w:val="26"/>
        </w:rPr>
        <w:t xml:space="preserve">3.3 Bootstrap Uncertainty Quantification</w:t>
      </w:r>
    </w:p>
    <w:p>
      <w:pPr>
        <w:spacing w:after="80" w:before="80" w:line="360" w:lineRule="auto"/>
        <w:jc w:val="both"/>
      </w:pPr>
      <w:r>
        <w:rPr>
          <w:rFonts w:ascii="Times New Roman" w:cs="Times New Roman" w:eastAsia="Times New Roman" w:hAnsi="Times New Roman"/>
          <w:sz w:val="22"/>
          <w:szCs w:val="22"/>
        </w:rPr>
        <w:t xml:space="preserve">Uncertainty in the estimated dose–response was quantified by nonparametric bootstrap resampling with B = 200 replicates. For each replicate b: (1) a bootstrap sample of size N was drawn with replacement from the full analytic dataset; (2) the Poisson GLM was re-fitted on the bootstrap sample using the full-data estimate as a warm start; (3) the neural dose branch was trained on the bootstrap sample using the bootstrap GLM's predicted rates as offsets. The full procedure — GLM refitting plus neural branch training — was executed independently for each replicate, ensuring that uncertainty in the demographic confound removal propagates through to the dose–response estimate.</w:t>
      </w:r>
    </w:p>
    <w:p>
      <w:pPr>
        <w:spacing w:after="80" w:before="80" w:line="360" w:lineRule="auto"/>
        <w:jc w:val="both"/>
      </w:pPr>
      <w:r>
        <w:rPr>
          <w:rFonts w:ascii="Times New Roman" w:cs="Times New Roman" w:eastAsia="Times New Roman" w:hAnsi="Times New Roman"/>
          <w:sz w:val="22"/>
          <w:szCs w:val="22"/>
        </w:rPr>
        <w:t xml:space="preserve">For each bias level δ, the dose–response curve was evaluated on a grid of 400 equally spaced dose points from 0 to 4 Gy. Pointwise 2.5th, 50th, and 97.5th percentiles across replicates provided the median estimate and 95% confidence interval at each dose point.</w:t>
      </w:r>
    </w:p>
    <w:p>
      <w:pPr>
        <w:spacing w:after="120" w:before="240"/>
      </w:pPr>
      <w:r>
        <w:rPr>
          <w:rFonts w:ascii="Times New Roman" w:cs="Times New Roman" w:eastAsia="Times New Roman" w:hAnsi="Times New Roman"/>
          <w:b/>
          <w:bCs/>
          <w:color w:val="000000"/>
          <w:sz w:val="26"/>
          <w:szCs w:val="26"/>
        </w:rPr>
        <w:t xml:space="preserve">3.4 Bias Sensitivity Parameter</w:t>
      </w:r>
    </w:p>
    <w:p>
      <w:pPr>
        <w:spacing w:after="80" w:before="80" w:line="360" w:lineRule="auto"/>
        <w:jc w:val="both"/>
      </w:pPr>
      <w:r>
        <w:rPr>
          <w:rFonts w:ascii="Times New Roman" w:cs="Times New Roman" w:eastAsia="Times New Roman" w:hAnsi="Times New Roman"/>
          <w:sz w:val="22"/>
          <w:szCs w:val="22"/>
        </w:rPr>
        <w:t xml:space="preserve">Doss (2013) proposed that the LSS reference group — those in the lowest exposure stratum — may exhibit suppressed cancer rates if low-dose radiation stimulates adaptive responses, making the ERR calculated against this baseline systematically understate relative risk. Under this hypothesis, the true baseline cancer rate is higher than the observed rate in the reference group by some unknown fraction δ. We treat δ as a sensitivity parameter ranging from 0% (standard analysis, no correction) to 30% (exceeding Doss's central estimate of ~20%), and fit the NGAM independently at δ ∈ {0%, 10%, 20%, 30%}.</w:t>
      </w:r>
    </w:p>
    <w:p>
      <w:pPr>
        <w:spacing w:after="80" w:before="80" w:line="360" w:lineRule="auto"/>
        <w:jc w:val="both"/>
      </w:pPr>
      <w:r>
        <w:rPr>
          <w:rFonts w:ascii="Times New Roman" w:cs="Times New Roman" w:eastAsia="Times New Roman" w:hAnsi="Times New Roman"/>
          <w:sz w:val="22"/>
          <w:szCs w:val="22"/>
        </w:rPr>
        <w:t xml:space="preserve">The correction is applied as a log-scale additive shift to the demographic offset: log(1 + δ/100). This is mathematically equivalent to assuming the background cancer rate is (1 + δ/100) times higher than observed, which is precisely the Doss hypothesis. The analysis does not assume this correction is justified; rather, it identifies the minimum δ at which sub-linear curvature becomes statistically detectable in the NGAM output. We treat Doss (2013) and Hwang et al. (2006) as providing a biologically plausible upper bound for δ, while acknowledging that Little et al. (2009) and the BEIR VII report (NRC, 2006) argue against this correction being warranted by available evidence.</w:t>
      </w:r>
    </w:p>
    <w:p>
      <w:pPr>
        <w:spacing w:after="120" w:before="240"/>
      </w:pPr>
      <w:r>
        <w:rPr>
          <w:rFonts w:ascii="Times New Roman" w:cs="Times New Roman" w:eastAsia="Times New Roman" w:hAnsi="Times New Roman"/>
          <w:b/>
          <w:bCs/>
          <w:color w:val="000000"/>
          <w:sz w:val="26"/>
          <w:szCs w:val="26"/>
        </w:rPr>
        <w:t xml:space="preserve">3.5 Comparison Models</w:t>
      </w:r>
    </w:p>
    <w:p>
      <w:pPr>
        <w:spacing w:after="80" w:before="80" w:line="360" w:lineRule="auto"/>
        <w:jc w:val="both"/>
      </w:pPr>
      <w:r>
        <w:rPr>
          <w:rFonts w:ascii="Times New Roman" w:cs="Times New Roman" w:eastAsia="Times New Roman" w:hAnsi="Times New Roman"/>
          <w:sz w:val="22"/>
          <w:szCs w:val="22"/>
        </w:rPr>
        <w:t xml:space="preserve">To contextualise the NGAM estimates, three parametric comparators were fitted to the same LSS-14 data using Poisson GLM with identical demographic covariates and offsets: (1) a Linear (LNT) model in which the dose term is log λ_dose = β_1 · dose; (2) a Linear-Quadratic (LQ) model with log λ_dose = β_1 · dose + β_2 · dose</w:t>
      </w:r>
      <w:r>
        <w:rPr>
          <w:rFonts w:ascii="Times New Roman" w:cs="Times New Roman" w:eastAsia="Times New Roman" w:hAnsi="Times New Roman"/>
          <w:sz w:val="18"/>
          <w:szCs w:val="18"/>
          <w:vertAlign w:val="superscript"/>
        </w:rPr>
        <w:t xml:space="preserve">2</w:t>
      </w:r>
      <w:r>
        <w:rPr>
          <w:rFonts w:ascii="Times New Roman" w:cs="Times New Roman" w:eastAsia="Times New Roman" w:hAnsi="Times New Roman"/>
          <w:sz w:val="22"/>
          <w:szCs w:val="22"/>
        </w:rPr>
        <w:t xml:space="preserve">; and (3) a restricted cubic spline model with knots placed at the 5th, 35th, 65th, and 95th percentiles of the dose distribution. Model selection was evaluated by Akaike Information Criterion (AIC), Bayesian Information Criterion (BIC), and five-fold cross-validated Poisson deviance, with data stratified by dose to ensure each fold contained comparable exposure ranges.</w:t>
      </w:r>
    </w:p>
    <w:p>
      <w:pPr>
        <w:spacing w:after="120" w:before="360"/>
      </w:pPr>
      <w:r>
        <w:rPr>
          <w:rFonts w:ascii="Times New Roman" w:cs="Times New Roman" w:eastAsia="Times New Roman" w:hAnsi="Times New Roman"/>
          <w:b/>
          <w:bCs/>
          <w:color w:val="1A1A6E"/>
          <w:sz w:val="32"/>
          <w:szCs w:val="32"/>
        </w:rPr>
        <w:t xml:space="preserve">4. Model Validation</w:t>
      </w:r>
    </w:p>
    <w:p>
      <w:pPr>
        <w:spacing w:after="120" w:before="240"/>
      </w:pPr>
      <w:r>
        <w:rPr>
          <w:rFonts w:ascii="Times New Roman" w:cs="Times New Roman" w:eastAsia="Times New Roman" w:hAnsi="Times New Roman"/>
          <w:b/>
          <w:bCs/>
          <w:color w:val="000000"/>
          <w:sz w:val="26"/>
          <w:szCs w:val="26"/>
        </w:rPr>
        <w:t xml:space="preserve">4.1 Synthetic Data Recovery Test</w:t>
      </w:r>
    </w:p>
    <w:p>
      <w:pPr>
        <w:spacing w:after="80" w:before="80" w:line="360" w:lineRule="auto"/>
        <w:jc w:val="both"/>
      </w:pPr>
      <w:r>
        <w:rPr>
          <w:rFonts w:ascii="Times New Roman" w:cs="Times New Roman" w:eastAsia="Times New Roman" w:hAnsi="Times New Roman"/>
          <w:sz w:val="22"/>
          <w:szCs w:val="22"/>
        </w:rPr>
        <w:t xml:space="preserve">To verify that the NGAM does not hallucinate nonlinearity in the absence of a true non-linear signal, we conducted a synthetic data recovery test. Person-year records were generated from a known LNT model by: (1) computing the fitted demographic log-rate from the full-data GLM; (2) adding a linear dose term β_1 · dose where β_1 was set to the GLM's maximum-likelihood linear dose coefficient; and (3) sampling Poisson counts from these rates. The complete NGAM pipeline — including staged bootstrap training with B = 200 replicates — was then applied to these synthetic data under δ = 0%.</w:t>
      </w:r>
    </w:p>
    <w:p>
      <w:pPr>
        <w:spacing w:after="80" w:before="80" w:line="360" w:lineRule="auto"/>
        <w:jc w:val="both"/>
      </w:pPr>
      <w:r>
        <w:rPr>
          <w:rFonts w:ascii="Times New Roman" w:cs="Times New Roman" w:eastAsia="Times New Roman" w:hAnsi="Times New Roman"/>
          <w:sz w:val="22"/>
          <w:szCs w:val="22"/>
        </w:rPr>
        <w:t xml:space="preserve">The recovered dose–response curve was approximately linear across the full 0–4 Gy range. The median log RR at 0.2 Gy was 0.037 (95% CI: −0.004, 0.079), compared to the true value of 0.034 at the same dose point. The fraction of bootstrap replicates showing any dip below zero in the 0–0.5 Gy range was 8%, consistent with random variation at the boundary of statistical detectability and providing no evidence that the NGAM systematically generates spurious sub-linear curvature. The width of the 95% confidence interval at 0.1 Gy was 0.033 log-RR units in the synthetic recovery test, essentially identical to the 0.036 units observed in the real-data analysis, confirming that uncertainty estimation is well-calibrated.</w:t>
      </w:r>
    </w:p>
    <w:p>
      <w:pPr>
        <w:spacing w:after="120" w:before="240"/>
      </w:pPr>
      <w:r>
        <w:rPr>
          <w:rFonts w:ascii="Times New Roman" w:cs="Times New Roman" w:eastAsia="Times New Roman" w:hAnsi="Times New Roman"/>
          <w:b/>
          <w:bCs/>
          <w:color w:val="000000"/>
          <w:sz w:val="26"/>
          <w:szCs w:val="26"/>
        </w:rPr>
        <w:t xml:space="preserve">4.2 Architecture Ablation</w:t>
      </w:r>
    </w:p>
    <w:p>
      <w:pPr>
        <w:spacing w:after="80" w:before="80" w:line="360" w:lineRule="auto"/>
        <w:jc w:val="both"/>
      </w:pPr>
      <w:r>
        <w:rPr>
          <w:rFonts w:ascii="Times New Roman" w:cs="Times New Roman" w:eastAsia="Times New Roman" w:hAnsi="Times New Roman"/>
          <w:sz w:val="22"/>
          <w:szCs w:val="22"/>
        </w:rPr>
        <w:t xml:space="preserve">To assess whether the dose–response shape depends on the specific capacity of the neural dose branch, we re-ran the bootstrap procedure with MLP architectures of 4, 8, 16 (primary), and 32 units per hidden layer. Under the standard analysis (δ = 0%), all four architectures produced qualitatively similar monotonically increasing curves across the 0–1 Gy range. Quantitatively, the median log RR at 0.3 Gy ranged from 0.051 (4-unit) to 0.063 (32-unit), a difference of 0.012 log-RR units that is small relative to the bootstrap confidence interval width of 0.093 at that dose point. This consistency across architecture sizes indicates that the primary dose–response shape reflects data signal rather than network capacity artifacts.</w:t>
      </w:r>
    </w:p>
    <w:p>
      <w:pPr>
        <w:spacing w:after="80" w:before="80" w:line="360" w:lineRule="auto"/>
        <w:jc w:val="both"/>
      </w:pPr>
      <w:r>
        <w:rPr>
          <w:rFonts w:ascii="Times New Roman" w:cs="Times New Roman" w:eastAsia="Times New Roman" w:hAnsi="Times New Roman"/>
          <w:sz w:val="22"/>
          <w:szCs w:val="22"/>
        </w:rPr>
        <w:t xml:space="preserve">By contrast, in Model 1 (joint training), the 1 Gy dip was substantially more pronounced in the 32-unit architecture (median log RR = −0.42 at 1.0 Gy) than in the 4-unit architecture (median log RR = −0.17), confirming that this feature is capacity-dependent and therefore a network artifact rather than a biological signal. These ablation results are presented in full in Supplementary Figure S2.</w:t>
      </w:r>
    </w:p>
    <w:p>
      <w:pPr>
        <w:spacing w:after="120" w:before="240"/>
      </w:pPr>
      <w:r>
        <w:rPr>
          <w:rFonts w:ascii="Times New Roman" w:cs="Times New Roman" w:eastAsia="Times New Roman" w:hAnsi="Times New Roman"/>
          <w:b/>
          <w:bCs/>
          <w:color w:val="000000"/>
          <w:sz w:val="26"/>
          <w:szCs w:val="26"/>
        </w:rPr>
        <w:t xml:space="preserve">4.3 Regularisation Sensitivity</w:t>
      </w:r>
    </w:p>
    <w:p>
      <w:pPr>
        <w:spacing w:after="80" w:before="80" w:line="360" w:lineRule="auto"/>
        <w:jc w:val="both"/>
      </w:pPr>
      <w:r>
        <w:rPr>
          <w:rFonts w:ascii="Times New Roman" w:cs="Times New Roman" w:eastAsia="Times New Roman" w:hAnsi="Times New Roman"/>
          <w:sz w:val="22"/>
          <w:szCs w:val="22"/>
        </w:rPr>
        <w:t xml:space="preserve">The bootstrap was repeated with weight decay values of 2 × 10</w:t>
      </w:r>
      <w:r>
        <w:rPr>
          <w:rFonts w:ascii="Times New Roman" w:cs="Times New Roman" w:eastAsia="Times New Roman" w:hAnsi="Times New Roman"/>
          <w:sz w:val="18"/>
          <w:szCs w:val="18"/>
          <w:vertAlign w:val="superscript"/>
        </w:rPr>
        <w:t xml:space="preserve">−5</w:t>
      </w:r>
      <w:r>
        <w:rPr>
          <w:rFonts w:ascii="Times New Roman" w:cs="Times New Roman" w:eastAsia="Times New Roman" w:hAnsi="Times New Roman"/>
          <w:sz w:val="22"/>
          <w:szCs w:val="22"/>
        </w:rPr>
        <w:t xml:space="preserve"> (weak), 10</w:t>
      </w:r>
      <w:r>
        <w:rPr>
          <w:rFonts w:ascii="Times New Roman" w:cs="Times New Roman" w:eastAsia="Times New Roman" w:hAnsi="Times New Roman"/>
          <w:sz w:val="18"/>
          <w:szCs w:val="18"/>
          <w:vertAlign w:val="superscript"/>
        </w:rPr>
        <w:t xml:space="preserve">−4</w:t>
      </w:r>
      <w:r>
        <w:rPr>
          <w:rFonts w:ascii="Times New Roman" w:cs="Times New Roman" w:eastAsia="Times New Roman" w:hAnsi="Times New Roman"/>
          <w:sz w:val="22"/>
          <w:szCs w:val="22"/>
        </w:rPr>
        <w:t xml:space="preserve"> (primary), and 5 × 10</w:t>
      </w:r>
      <w:r>
        <w:rPr>
          <w:rFonts w:ascii="Times New Roman" w:cs="Times New Roman" w:eastAsia="Times New Roman" w:hAnsi="Times New Roman"/>
          <w:sz w:val="18"/>
          <w:szCs w:val="18"/>
          <w:vertAlign w:val="superscript"/>
        </w:rPr>
        <w:t xml:space="preserve">−4</w:t>
      </w:r>
      <w:r>
        <w:rPr>
          <w:rFonts w:ascii="Times New Roman" w:cs="Times New Roman" w:eastAsia="Times New Roman" w:hAnsi="Times New Roman"/>
          <w:sz w:val="22"/>
          <w:szCs w:val="22"/>
        </w:rPr>
        <w:t xml:space="preserve"> (strong). Under δ = 0%, the low-dose shape (0–0.3 Gy) was stable across all three regularisation levels, with median log RR at 0.2 Gy ranging from 0.034 to 0.041. Under δ = 20%, the sub-linear region remained detectable at all three regularisation levels, though the depth of the dip decreased modestly under strong regularisation (median log RR at 0.2 Gy: −0.162 under strong vs. −0.181 under primary regularisation). The persistence of the directional finding across regularisation levels provides additional evidence that the sensitivity result under δ = 20% reflects a genuine data-driven response to the bias correction rather than a network-specific fitting pattern.</w:t>
      </w:r>
    </w:p>
    <w:p>
      <w:pPr>
        <w:spacing w:after="120" w:before="240"/>
      </w:pPr>
      <w:r>
        <w:rPr>
          <w:rFonts w:ascii="Times New Roman" w:cs="Times New Roman" w:eastAsia="Times New Roman" w:hAnsi="Times New Roman"/>
          <w:b/>
          <w:bCs/>
          <w:color w:val="000000"/>
          <w:sz w:val="26"/>
          <w:szCs w:val="26"/>
        </w:rPr>
        <w:t xml:space="preserve">4.4 Bootstrap Curve Stability</w:t>
      </w:r>
    </w:p>
    <w:p>
      <w:pPr>
        <w:spacing w:after="80" w:before="80" w:line="360" w:lineRule="auto"/>
        <w:jc w:val="both"/>
      </w:pPr>
      <w:r>
        <w:rPr>
          <w:rFonts w:ascii="Times New Roman" w:cs="Times New Roman" w:eastAsia="Times New Roman" w:hAnsi="Times New Roman"/>
          <w:sz w:val="22"/>
          <w:szCs w:val="22"/>
        </w:rPr>
        <w:t xml:space="preserve">We examined the consistency of direction across bootstrap replicates in the 0–0.3 Gy region, which provides a non-parametric test for whether the model is responding to a genuine signal or fitting noise. Under δ = 0%, the fraction of bootstrap replicates with log RR &gt; 0 at 0.1 Gy was 81%, at 0.2 Gy was 85%, and at 0.3 Gy was 93%. This directional consistency — the majority of replicates agree that the curve rises, even if by a modest amount — validates the standard result. Under δ = 20%, the pattern reverses: the fraction of replicates with log RR &lt; 0 at 0.1 Gy was 96%, at 0.2 Gy was 97%, and at 0.3 Gy was 100%. Under δ = 10%, the corresponding fractions were 68%, 62%, and 54%, consistent with a dose–response near the boundary of statistical detectability for sub-linear curvature.</w:t>
      </w:r>
    </w:p>
    <w:p>
      <w:pPr>
        <w:spacing w:after="120" w:before="360"/>
      </w:pPr>
      <w:r>
        <w:rPr>
          <w:rFonts w:ascii="Times New Roman" w:cs="Times New Roman" w:eastAsia="Times New Roman" w:hAnsi="Times New Roman"/>
          <w:b/>
          <w:bCs/>
          <w:color w:val="1A1A6E"/>
          <w:sz w:val="32"/>
          <w:szCs w:val="32"/>
        </w:rPr>
        <w:t xml:space="preserve">5. Results</w:t>
      </w:r>
    </w:p>
    <w:p>
      <w:pPr>
        <w:spacing w:after="120" w:before="240"/>
      </w:pPr>
      <w:r>
        <w:rPr>
          <w:rFonts w:ascii="Times New Roman" w:cs="Times New Roman" w:eastAsia="Times New Roman" w:hAnsi="Times New Roman"/>
          <w:b/>
          <w:bCs/>
          <w:color w:val="000000"/>
          <w:sz w:val="26"/>
          <w:szCs w:val="26"/>
        </w:rPr>
        <w:t xml:space="preserve">5.1 Model Comparison Under Standard Assumptions</w:t>
      </w:r>
    </w:p>
    <w:p>
      <w:pPr>
        <w:spacing w:after="80" w:before="80" w:line="360" w:lineRule="auto"/>
        <w:jc w:val="both"/>
      </w:pPr>
      <w:r>
        <w:rPr>
          <w:rFonts w:ascii="Times New Roman" w:cs="Times New Roman" w:eastAsia="Times New Roman" w:hAnsi="Times New Roman"/>
          <w:sz w:val="22"/>
          <w:szCs w:val="22"/>
        </w:rPr>
        <w:t xml:space="preserve">Table 2 summarises the AIC, BIC, and cross-validated deviance for the NGAM and three parametric comparators under the standard analysis (δ = 0%). The NGAM achieves a cross-validated deviance comparable to the restricted cubic spline (gap: 0.8 units per observation), substantially better than the LNT model, and marginally better than the linear-quadratic model. The AIC improvement of the NGAM over LNT reflects genuine flexibility benefit; the fact that this improvement is comparable to — and not substantially larger than — the restricted cubic spline confirms that the NGAM does not achieve its gains primarily through overfitting.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2040"/>
        <w:gridCol w:w="1440"/>
      </w:tblGrid>
      <w:tr>
        <w:trPr>
          <w:tblHeader/>
        </w:trP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Model</w:t>
            </w:r>
          </w:p>
        </w:tc>
        <w:tc>
          <w:tcPr>
            <w:tcW w:type="dxa" w:w="17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AIC</w:t>
            </w:r>
          </w:p>
        </w:tc>
        <w:tc>
          <w:tcPr>
            <w:tcW w:type="dxa" w:w="17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BIC</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5-Fold CV Deviance</w:t>
            </w:r>
          </w:p>
        </w:tc>
        <w:tc>
          <w:tcPr>
            <w:tcW w:type="dxa" w:w="14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Parameters</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Linear (LNT)</w:t>
            </w:r>
          </w:p>
        </w:tc>
        <w:tc>
          <w:tcPr>
            <w:tcW w:type="dxa" w:w="17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Reference</w:t>
            </w:r>
          </w:p>
        </w:tc>
        <w:tc>
          <w:tcPr>
            <w:tcW w:type="dxa" w:w="17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Reference</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Reference</w:t>
            </w:r>
          </w:p>
        </w:tc>
        <w:tc>
          <w:tcPr>
            <w:tcW w:type="dxa" w:w="14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k+1</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Linear-Quadratic</w:t>
            </w:r>
          </w:p>
        </w:tc>
        <w:tc>
          <w:tcPr>
            <w:tcW w:type="dxa" w:w="17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−14.2</w:t>
            </w:r>
          </w:p>
        </w:tc>
        <w:tc>
          <w:tcPr>
            <w:tcW w:type="dxa" w:w="17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−8.6</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−12.1</w:t>
            </w:r>
          </w:p>
        </w:tc>
        <w:tc>
          <w:tcPr>
            <w:tcW w:type="dxa" w:w="14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k+2</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Restricted Cubic Spline</w:t>
            </w:r>
          </w:p>
        </w:tc>
        <w:tc>
          <w:tcPr>
            <w:tcW w:type="dxa" w:w="17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−31.8</w:t>
            </w:r>
          </w:p>
        </w:tc>
        <w:tc>
          <w:tcPr>
            <w:tcW w:type="dxa" w:w="17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−21.4</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−29.4</w:t>
            </w:r>
          </w:p>
        </w:tc>
        <w:tc>
          <w:tcPr>
            <w:tcW w:type="dxa" w:w="14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k+5</w:t>
            </w:r>
          </w:p>
        </w:tc>
      </w:tr>
      <w:tr>
        <w:tc>
          <w:tcPr>
            <w:tcW w:type="dxa" w:w="2400"/>
            <w:tcBorders>
              <w:top w:val="single" w:color="AAAAAA" w:sz="4"/>
              <w:left w:val="single" w:color="AAAAAA" w:sz="4"/>
              <w:bottom w:val="single" w:color="AAAAAA" w:sz="4"/>
              <w:right w:val="single" w:color="AAAAAA" w:sz="4"/>
            </w:tcBorders>
            <w:shd w:fill="EFF9E8"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NGAM (staged)</w:t>
            </w:r>
          </w:p>
        </w:tc>
        <w:tc>
          <w:tcPr>
            <w:tcW w:type="dxa" w:w="1740"/>
            <w:tcBorders>
              <w:top w:val="single" w:color="AAAAAA" w:sz="4"/>
              <w:left w:val="single" w:color="AAAAAA" w:sz="4"/>
              <w:bottom w:val="single" w:color="AAAAAA" w:sz="4"/>
              <w:right w:val="single" w:color="AAAAAA" w:sz="4"/>
            </w:tcBorders>
            <w:shd w:fill="EFF9E8"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−33.1</w:t>
            </w:r>
          </w:p>
        </w:tc>
        <w:tc>
          <w:tcPr>
            <w:tcW w:type="dxa" w:w="1740"/>
            <w:tcBorders>
              <w:top w:val="single" w:color="AAAAAA" w:sz="4"/>
              <w:left w:val="single" w:color="AAAAAA" w:sz="4"/>
              <w:bottom w:val="single" w:color="AAAAAA" w:sz="4"/>
              <w:right w:val="single" w:color="AAAAAA" w:sz="4"/>
            </w:tcBorders>
            <w:shd w:fill="EFF9E8"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−19.7</w:t>
            </w:r>
          </w:p>
        </w:tc>
        <w:tc>
          <w:tcPr>
            <w:tcW w:type="dxa" w:w="2040"/>
            <w:tcBorders>
              <w:top w:val="single" w:color="AAAAAA" w:sz="4"/>
              <w:left w:val="single" w:color="AAAAAA" w:sz="4"/>
              <w:bottom w:val="single" w:color="AAAAAA" w:sz="4"/>
              <w:right w:val="single" w:color="AAAAAA" w:sz="4"/>
            </w:tcBorders>
            <w:shd w:fill="EFF9E8"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−30.2</w:t>
            </w:r>
          </w:p>
        </w:tc>
        <w:tc>
          <w:tcPr>
            <w:tcW w:type="dxa" w:w="1440"/>
            <w:tcBorders>
              <w:top w:val="single" w:color="AAAAAA" w:sz="4"/>
              <w:left w:val="single" w:color="AAAAAA" w:sz="4"/>
              <w:bottom w:val="single" w:color="AAAAAA" w:sz="4"/>
              <w:right w:val="single" w:color="AAAAAA" w:sz="4"/>
            </w:tcBorders>
            <w:shd w:fill="EFF9E8"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k+~400</w:t>
            </w:r>
          </w:p>
        </w:tc>
      </w:tr>
    </w:tbl>
    <w:p>
      <w:pPr>
        <w:spacing w:after="200" w:before="60"/>
      </w:pPr>
      <w:r>
        <w:rPr>
          <w:rFonts w:ascii="Times New Roman" w:cs="Times New Roman" w:eastAsia="Times New Roman" w:hAnsi="Times New Roman"/>
          <w:i/>
          <w:iCs/>
          <w:sz w:val="18"/>
          <w:szCs w:val="18"/>
        </w:rPr>
        <w:t xml:space="preserve">Table 2. Model comparison under δ = 0% (standard analysis). AIC and BIC values shown relative to the LNT baseline (negative = improvement). k = number of demographic GLM parameters (common across models). CV deviance is five-fold cross-validated Poisson deviance per observation, shown as improvement over LNT. NGAM parameter count reflects the full neural network.</w:t>
      </w:r>
    </w:p>
    <w:p>
      <w:pPr>
        <w:spacing w:after="120" w:before="240"/>
      </w:pPr>
      <w:r>
        <w:rPr>
          <w:rFonts w:ascii="Times New Roman" w:cs="Times New Roman" w:eastAsia="Times New Roman" w:hAnsi="Times New Roman"/>
          <w:b/>
          <w:bCs/>
          <w:color w:val="000000"/>
          <w:sz w:val="26"/>
          <w:szCs w:val="26"/>
        </w:rPr>
        <w:t xml:space="preserve">5.2 Dose–Response Under Standard Assumptions (δ = 0%)</w:t>
      </w:r>
    </w:p>
    <w:p>
      <w:pPr>
        <w:spacing w:after="80" w:before="80" w:line="360" w:lineRule="auto"/>
        <w:jc w:val="both"/>
      </w:pPr>
      <w:r>
        <w:rPr>
          <w:rFonts w:ascii="Times New Roman" w:cs="Times New Roman" w:eastAsia="Times New Roman" w:hAnsi="Times New Roman"/>
          <w:sz w:val="22"/>
          <w:szCs w:val="22"/>
        </w:rPr>
        <w:t xml:space="preserve">Under standard assumptions, the NGAM recovers a dose–response consistent with a broadly monotonically increasing relationship across the full 0–4 Gy range, in agreement with the LNT model's qualitative prediction. Selected point estimates are presented in Table 3. At 0.1 Gy, the median log RR is 0.018 (95% CI: −0.003, 0.033), with the confidence interval straddling zero, reflecting the genuine statistical uncertainty in the LSS data at this dose level. By 0.3 Gy the median (0.058; 95% CI: 0.002, 0.096) is positive with the lower bound just above zero. At 1 Gy the median log RR is 0.229 (95% CI: 0.124, 0.317), indicating a clear and stable excess risk.</w:t>
      </w:r>
    </w:p>
    <w:p>
      <w:pPr>
        <w:spacing w:after="80" w:before="80" w:line="360" w:lineRule="auto"/>
        <w:jc w:val="both"/>
      </w:pPr>
      <w:r>
        <w:rPr>
          <w:rFonts w:ascii="Times New Roman" w:cs="Times New Roman" w:eastAsia="Times New Roman" w:hAnsi="Times New Roman"/>
          <w:sz w:val="22"/>
          <w:szCs w:val="22"/>
        </w:rPr>
        <w:t xml:space="preserve">The bootstrap confidence interval width is a direct measure of statistical resolution. At 0.1 Gy, the 95% CI width is 0.036 log-RR units; at 0.3 Gy it is 0.094 units; at 1 Gy it is 0.193 units. These figures quantify the LSS data's limited power to discriminate dose–response models in the low-dose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560"/>
        <w:gridCol w:w="1560"/>
        <w:gridCol w:w="1560"/>
        <w:gridCol w:w="1560"/>
        <w:gridCol w:w="1680"/>
      </w:tblGrid>
      <w:tr>
        <w:trPr>
          <w:tblHeader/>
        </w:trPr>
        <w:tc>
          <w:tcPr>
            <w:tcW w:type="dxa" w:w="14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Dose (Gy)</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δ = 0% Median</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δ = 0% 95% CI</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δ = 10% Median</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δ = 20% Median</w:t>
            </w:r>
          </w:p>
        </w:tc>
        <w:tc>
          <w:tcPr>
            <w:tcW w:type="dxa" w:w="16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δ = 30% Median (95% CI)</w:t>
            </w:r>
          </w:p>
        </w:tc>
      </w:tr>
      <w:tr>
        <w:tc>
          <w:tcPr>
            <w:tcW w:type="dxa" w:w="14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0.00</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0.000</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[0.000, 0.000]</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0.000</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0.000</w:t>
            </w:r>
          </w:p>
        </w:tc>
        <w:tc>
          <w:tcPr>
            <w:tcW w:type="dxa" w:w="16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0.000 [0.000, 0.000]</w:t>
            </w:r>
          </w:p>
        </w:tc>
      </w:tr>
      <w:tr>
        <w:tc>
          <w:tcPr>
            <w:tcW w:type="dxa" w:w="14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0.05</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0.009</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[−0.002, 0.016]</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−0.006</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−0.059</w:t>
            </w:r>
          </w:p>
        </w:tc>
        <w:tc>
          <w:tcPr>
            <w:tcW w:type="dxa" w:w="16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−0.155 [−0.265, −0.049]</w:t>
            </w:r>
          </w:p>
        </w:tc>
      </w:tr>
      <w:tr>
        <w:tc>
          <w:tcPr>
            <w:tcW w:type="dxa" w:w="14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0.10</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0.018</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[−0.003, 0.033]</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−0.011</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−0.108</w:t>
            </w:r>
          </w:p>
        </w:tc>
        <w:tc>
          <w:tcPr>
            <w:tcW w:type="dxa" w:w="16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−0.266 [−0.395, −0.095]</w:t>
            </w:r>
          </w:p>
        </w:tc>
      </w:tr>
      <w:tr>
        <w:tc>
          <w:tcPr>
            <w:tcW w:type="dxa" w:w="14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0.20</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0.038</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[−0.001, 0.064]</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−0.018</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−0.181</w:t>
            </w:r>
          </w:p>
        </w:tc>
        <w:tc>
          <w:tcPr>
            <w:tcW w:type="dxa" w:w="16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−0.371 [−0.428, −0.171]</w:t>
            </w:r>
          </w:p>
        </w:tc>
      </w:tr>
      <w:tr>
        <w:tc>
          <w:tcPr>
            <w:tcW w:type="dxa" w:w="14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0.30</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0.058</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[0.002, 0.096]</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−0.022</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−0.219</w:t>
            </w:r>
          </w:p>
        </w:tc>
        <w:tc>
          <w:tcPr>
            <w:tcW w:type="dxa" w:w="16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−0.358 [−0.411, −0.190]</w:t>
            </w:r>
          </w:p>
        </w:tc>
      </w:tr>
      <w:tr>
        <w:tc>
          <w:tcPr>
            <w:tcW w:type="dxa" w:w="14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0.50</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0.101</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[0.022, 0.158]</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−0.019</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−0.193</w:t>
            </w:r>
          </w:p>
        </w:tc>
        <w:tc>
          <w:tcPr>
            <w:tcW w:type="dxa" w:w="16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−0.263 [−0.366, −0.118]</w:t>
            </w:r>
          </w:p>
        </w:tc>
      </w:tr>
      <w:tr>
        <w:tc>
          <w:tcPr>
            <w:tcW w:type="dxa" w:w="14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0.229</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[0.124, 0.317]</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0.080</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0.039</w:t>
            </w:r>
          </w:p>
        </w:tc>
        <w:tc>
          <w:tcPr>
            <w:tcW w:type="dxa" w:w="16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0.030 [−0.144, 0.104]</w:t>
            </w:r>
          </w:p>
        </w:tc>
      </w:tr>
      <w:tr>
        <w:tc>
          <w:tcPr>
            <w:tcW w:type="dxa" w:w="14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2.00</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0.523</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[0.357, 0.708]</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0.439</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0.407</w:t>
            </w:r>
          </w:p>
        </w:tc>
        <w:tc>
          <w:tcPr>
            <w:tcW w:type="dxa" w:w="16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0.314 [0.178, 0.445]</w:t>
            </w:r>
          </w:p>
        </w:tc>
      </w:tr>
      <w:tr>
        <w:tc>
          <w:tcPr>
            <w:tcW w:type="dxa" w:w="14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3.00</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0.858</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[0.530, 1.144]</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0.820</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0.596</w:t>
            </w:r>
          </w:p>
        </w:tc>
        <w:tc>
          <w:tcPr>
            <w:tcW w:type="dxa" w:w="16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0.463 [0.047, 0.765]</w:t>
            </w:r>
          </w:p>
        </w:tc>
      </w:tr>
    </w:tbl>
    <w:p>
      <w:pPr>
        <w:spacing w:after="200" w:before="60"/>
      </w:pPr>
      <w:r>
        <w:rPr>
          <w:rFonts w:ascii="Times New Roman" w:cs="Times New Roman" w:eastAsia="Times New Roman" w:hAnsi="Times New Roman"/>
          <w:i/>
          <w:iCs/>
          <w:sz w:val="18"/>
          <w:szCs w:val="18"/>
        </w:rPr>
        <w:t xml:space="preserve">Table 3. Median log relative risk f(dose) and 95% bootstrap confidence intervals from the staged NGAM across four bias correction levels (δ). Values represent the learned log-scale dose effect relative to the zero-dose baseline. Negative values indicate estimated reduction in risk relative to the uncorrected baseline.</w:t>
      </w:r>
    </w:p>
    <w:p>
      <w:pPr>
        <w:spacing w:after="120" w:before="240"/>
      </w:pPr>
      <w:r>
        <w:rPr>
          <w:rFonts w:ascii="Times New Roman" w:cs="Times New Roman" w:eastAsia="Times New Roman" w:hAnsi="Times New Roman"/>
          <w:b/>
          <w:bCs/>
          <w:color w:val="000000"/>
          <w:sz w:val="26"/>
          <w:szCs w:val="26"/>
        </w:rPr>
        <w:t xml:space="preserve">5.3 Bias Sensitivity Analysis</w:t>
      </w:r>
    </w:p>
    <w:p>
      <w:pPr>
        <w:spacing w:after="80" w:before="80" w:line="360" w:lineRule="auto"/>
        <w:jc w:val="both"/>
      </w:pPr>
      <w:r>
        <w:rPr>
          <w:rFonts w:ascii="Times New Roman" w:cs="Times New Roman" w:eastAsia="Times New Roman" w:hAnsi="Times New Roman"/>
          <w:sz w:val="22"/>
          <w:szCs w:val="22"/>
        </w:rPr>
        <w:t xml:space="preserve">The central question of the sensitivity analysis is: what minimum baseline upward correction δ is required for sub-linear curvature to become statistically detectable in the NGAM?</w:t>
      </w:r>
    </w:p>
    <w:p>
      <w:pPr>
        <w:spacing w:after="80" w:before="80" w:line="360" w:lineRule="auto"/>
        <w:jc w:val="both"/>
      </w:pPr>
      <w:r>
        <w:rPr>
          <w:rFonts w:ascii="Times New Roman" w:cs="Times New Roman" w:eastAsia="Times New Roman" w:hAnsi="Times New Roman"/>
          <w:sz w:val="22"/>
          <w:szCs w:val="22"/>
        </w:rPr>
        <w:t xml:space="preserve">Under δ = 10%, the dose–response curve shows negative point estimates at doses below 0.5 Gy (median log RR = −0.011 at 0.1 Gy; −0.022 at 0.3 Gy), but the 95% confidence intervals include zero at all dose points below 1 Gy. The fraction of bootstrap replicates showing the curve below zero at 0.2 Gy is 62%, which is only modestly above the null expectation of 50%. Sub-linear curvature under δ = 10% is therefore consistent with, but not statistically established by, the LSS data.</w:t>
      </w:r>
    </w:p>
    <w:p>
      <w:pPr>
        <w:spacing w:after="80" w:before="80" w:line="360" w:lineRule="auto"/>
        <w:jc w:val="both"/>
      </w:pPr>
      <w:r>
        <w:rPr>
          <w:rFonts w:ascii="Times New Roman" w:cs="Times New Roman" w:eastAsia="Times New Roman" w:hAnsi="Times New Roman"/>
          <w:sz w:val="22"/>
          <w:szCs w:val="22"/>
        </w:rPr>
        <w:t xml:space="preserve">Under δ = 20%, the pattern changes substantially. The 95% confidence interval is entirely below zero at 0.05 Gy (−0.111, −0.011), 0.10 Gy (−0.189, −0.021), 0.15 Gy (−0.238, −0.030), 0.20 Gy (−0.267, −0.038), and 0.30 Gy (−0.279, −0.051). The fraction of bootstrap replicates with the curve below zero at 0.2 Gy is 97%. This constitutes statistically detectable sub-linear curvature at conventional levels, indicating that a 20% upward baseline correction is sufficient to render hormetic curvature detectable in the LSS data using this model.</w:t>
      </w:r>
    </w:p>
    <w:p>
      <w:pPr>
        <w:spacing w:after="80" w:before="80" w:line="360" w:lineRule="auto"/>
        <w:jc w:val="both"/>
      </w:pPr>
      <w:r>
        <w:rPr>
          <w:rFonts w:ascii="Times New Roman" w:cs="Times New Roman" w:eastAsia="Times New Roman" w:hAnsi="Times New Roman"/>
          <w:sz w:val="22"/>
          <w:szCs w:val="22"/>
        </w:rPr>
        <w:t xml:space="preserve">Under δ = 30%, sub-linear curvature is highly significant across the entire low-dose region (fraction of replicates below zero at 0.2 Gy: 99.5%), but the curve returns to positive territory above 1 Gy and the confidence intervals widen substantially at high doses, reflecting increasing tension between the strong baseline correction and the high-dose data which clearly shows elevated risk.</w:t>
      </w:r>
    </w:p>
    <w:p>
      <w:pPr>
        <w:spacing w:after="80" w:before="80" w:line="360" w:lineRule="auto"/>
        <w:jc w:val="both"/>
      </w:pPr>
      <w:r>
        <w:rPr>
          <w:rFonts w:ascii="Times New Roman" w:cs="Times New Roman" w:eastAsia="Times New Roman" w:hAnsi="Times New Roman"/>
          <w:sz w:val="22"/>
          <w:szCs w:val="22"/>
        </w:rPr>
        <w:t xml:space="preserve">The transition from 'not statistically detectable' (δ = 10%) to 'statistically detectable' (δ = 20%) implies that the minimum correction required to produce detectable sub-linearity lies in the range 10–20%. This is the central quantitative finding of the sensitivity analysis.</w:t>
      </w:r>
    </w:p>
    <w:p>
      <w:pPr>
        <w:spacing w:after="120" w:before="240"/>
      </w:pPr>
      <w:r>
        <w:rPr>
          <w:rFonts w:ascii="Times New Roman" w:cs="Times New Roman" w:eastAsia="Times New Roman" w:hAnsi="Times New Roman"/>
          <w:b/>
          <w:bCs/>
          <w:color w:val="000000"/>
          <w:sz w:val="26"/>
          <w:szCs w:val="26"/>
        </w:rPr>
        <w:t xml:space="preserve">5.4 High-Dose Validation</w:t>
      </w:r>
    </w:p>
    <w:p>
      <w:pPr>
        <w:spacing w:after="80" w:before="80" w:line="360" w:lineRule="auto"/>
        <w:jc w:val="both"/>
      </w:pPr>
      <w:r>
        <w:rPr>
          <w:rFonts w:ascii="Times New Roman" w:cs="Times New Roman" w:eastAsia="Times New Roman" w:hAnsi="Times New Roman"/>
          <w:sz w:val="22"/>
          <w:szCs w:val="22"/>
        </w:rPr>
        <w:t xml:space="preserve">An important internal consistency check is that the dose–response at moderate-to-high doses (1–4 Gy) should remain positive and broadly consistent across bias levels, as this range is well-supported by data and the elevated cancer risk is unambiguous. Under all four δ values, the median log RR at 2 Gy is positive and statistically significant (δ = 0%: 0.523 [0.357, 0.708]; δ = 30%: 0.314 [0.178, 0.445]). The NGAM therefore does not introduce implausible reversals at high doses even under the strongest bias correction, confirming that the model responds coherently to the data constraint that high-dose cancer risk is real and substantial.</w:t>
      </w:r>
    </w:p>
    <w:p>
      <w:pPr>
        <w:spacing w:after="120" w:before="360"/>
      </w:pPr>
      <w:r>
        <w:rPr>
          <w:rFonts w:ascii="Times New Roman" w:cs="Times New Roman" w:eastAsia="Times New Roman" w:hAnsi="Times New Roman"/>
          <w:b/>
          <w:bCs/>
          <w:color w:val="1A1A6E"/>
          <w:sz w:val="32"/>
          <w:szCs w:val="32"/>
        </w:rPr>
        <w:t xml:space="preserve">6. Discussion</w:t>
      </w:r>
    </w:p>
    <w:p>
      <w:pPr>
        <w:spacing w:after="80" w:before="80" w:line="360" w:lineRule="auto"/>
        <w:jc w:val="both"/>
      </w:pPr>
      <w:r>
        <w:rPr>
          <w:rFonts w:ascii="Times New Roman" w:cs="Times New Roman" w:eastAsia="Times New Roman" w:hAnsi="Times New Roman"/>
          <w:sz w:val="22"/>
          <w:szCs w:val="22"/>
        </w:rPr>
        <w:t xml:space="preserve">Whether the LSS dose–response is truly linear at low doses remains unresolved. The present analysis does not resolve this question but provides a framework for understanding what baseline conditions would be required to distinguish LNT from sub-linear models within the existing LSS data. We begin the discussion with what the data can and cannot tell us, then interpret our findings in light of corroborating and competing evidence.</w:t>
      </w:r>
    </w:p>
    <w:p>
      <w:pPr>
        <w:spacing w:after="120" w:before="240"/>
      </w:pPr>
      <w:r>
        <w:rPr>
          <w:rFonts w:ascii="Times New Roman" w:cs="Times New Roman" w:eastAsia="Times New Roman" w:hAnsi="Times New Roman"/>
          <w:b/>
          <w:bCs/>
          <w:color w:val="000000"/>
          <w:sz w:val="26"/>
          <w:szCs w:val="26"/>
        </w:rPr>
        <w:t xml:space="preserve">6.1 What the LSS Data Can and Cannot Resolve</w:t>
      </w:r>
    </w:p>
    <w:p>
      <w:pPr>
        <w:spacing w:after="80" w:before="80" w:line="360" w:lineRule="auto"/>
        <w:jc w:val="both"/>
      </w:pPr>
      <w:r>
        <w:rPr>
          <w:rFonts w:ascii="Times New Roman" w:cs="Times New Roman" w:eastAsia="Times New Roman" w:hAnsi="Times New Roman"/>
          <w:sz w:val="22"/>
          <w:szCs w:val="22"/>
        </w:rPr>
        <w:t xml:space="preserve">The LSS dataset is the gold standard for radiation epidemiology, but its power to discriminate dose–response models in the policy-relevant range below 200 mGy is fundamentally limited. The bootstrap confidence interval width at 0.1 Gy in our analysis is 0.036 log-RR units, equivalent to approximately ±4% relative risk uncertainty. This corresponds to a precision of roughly ±2 excess cancers per 10,000 person-years at low dose, which is comparable to the magnitude of any plausible hormetic effect. No statistical method — regardless of sophistication — can extract a hormetic signal that lies below this noise floor from the existing data.</w:t>
      </w:r>
    </w:p>
    <w:p>
      <w:pPr>
        <w:spacing w:after="80" w:before="80" w:line="360" w:lineRule="auto"/>
        <w:jc w:val="both"/>
      </w:pPr>
      <w:r>
        <w:rPr>
          <w:rFonts w:ascii="Times New Roman" w:cs="Times New Roman" w:eastAsia="Times New Roman" w:hAnsi="Times New Roman"/>
          <w:sz w:val="22"/>
          <w:szCs w:val="22"/>
        </w:rPr>
        <w:t xml:space="preserve">The NGAM's primary methodological advantage over traditional ERR-based analyses is that it operates on individual Poisson likelihoods rather than pre-binned summary statistics. When excess risk is small relative to background, ERR estimation requires subtracting near-equal quantities, amplifying relative error. Doss (2013) himself noted that standard errors in the lowest dose bins of Ozasa et al. (2012) exceed the excess cancer counts. The NGAM avoids this by treating dose as a continuous predictor in a direct likelihood model, preserving all available information and avoiding the noise amplification step.</w:t>
      </w:r>
    </w:p>
    <w:p>
      <w:pPr>
        <w:spacing w:after="80" w:before="80" w:line="360" w:lineRule="auto"/>
        <w:jc w:val="both"/>
      </w:pPr>
      <w:r>
        <w:rPr>
          <w:rFonts w:ascii="Times New Roman" w:cs="Times New Roman" w:eastAsia="Times New Roman" w:hAnsi="Times New Roman"/>
          <w:sz w:val="22"/>
          <w:szCs w:val="22"/>
        </w:rPr>
        <w:t xml:space="preserve">However, the NGAM's flexibility introduces a compensating vulnerability: a universal function approximator will attempt to fit whatever pattern it observes, including patterns generated by noise or confounding. Parametric models resist this through structural constraint — a linear model cannot represent a dip regardless of what the data show. The NGAM addresses this through staged training (preventing confounding from being attributed to dose), zero-centring (anchoring the baseline), bootstrap uncertainty quantification (making instability visible), and explicit validation experiments. The cross-validated deviance gap between NGAM and LNT is modest, and the synthetic data recovery test confirms that the NGAM does not systematically generate spurious nonlinearity when the truth is linear.</w:t>
      </w:r>
    </w:p>
    <w:p>
      <w:pPr>
        <w:spacing w:after="120" w:before="240"/>
      </w:pPr>
      <w:r>
        <w:rPr>
          <w:rFonts w:ascii="Times New Roman" w:cs="Times New Roman" w:eastAsia="Times New Roman" w:hAnsi="Times New Roman"/>
          <w:b/>
          <w:bCs/>
          <w:color w:val="000000"/>
          <w:sz w:val="26"/>
          <w:szCs w:val="26"/>
        </w:rPr>
        <w:t xml:space="preserve">6.2 Interpretation of the Bias Sensitivity Finding</w:t>
      </w:r>
    </w:p>
    <w:p>
      <w:pPr>
        <w:spacing w:after="80" w:before="80" w:line="360" w:lineRule="auto"/>
        <w:jc w:val="both"/>
      </w:pPr>
      <w:r>
        <w:rPr>
          <w:rFonts w:ascii="Times New Roman" w:cs="Times New Roman" w:eastAsia="Times New Roman" w:hAnsi="Times New Roman"/>
          <w:sz w:val="22"/>
          <w:szCs w:val="22"/>
        </w:rPr>
        <w:t xml:space="preserve">The central quantitative finding is that a baseline upward correction of 10–20% is sufficient to produce statistically detectable sub-linear curvature in the low-dose NGAM output. This finding is inherently conditional: it does not establish that such a correction is warranted, only that it is sufficient.</w:t>
      </w:r>
    </w:p>
    <w:p>
      <w:pPr>
        <w:spacing w:after="80" w:before="80" w:line="360" w:lineRule="auto"/>
        <w:jc w:val="both"/>
      </w:pPr>
      <w:r>
        <w:rPr>
          <w:rFonts w:ascii="Times New Roman" w:cs="Times New Roman" w:eastAsia="Times New Roman" w:hAnsi="Times New Roman"/>
          <w:sz w:val="22"/>
          <w:szCs w:val="22"/>
        </w:rPr>
        <w:t xml:space="preserve">The Doss (2013) estimate of approximately 20% was derived from the Taiwan Co-60 apartment cohort (Hwang et al., 2006), which reported a standardised incidence ratio of approximately 0.70 for solid cancers in a population chronically exposed to low-dose gamma radiation through contaminated steel. This cohort has its own methodological limitations, including self-selection bias and uncertain dosimetry, and Hwang et al. themselves cautioned against drawing strong causal conclusions. However, the Taiwan SIR of ~0.70 implies a roughly 30% reduction in cancer rates in low-dose-exposed individuals relative to the general population — a magnitude that, if real, would be biologically plausible under hormesis models involving enhanced DNA repair and immune activation.</w:t>
      </w:r>
    </w:p>
    <w:p>
      <w:pPr>
        <w:spacing w:after="80" w:before="80" w:line="360" w:lineRule="auto"/>
        <w:jc w:val="both"/>
      </w:pPr>
      <w:r>
        <w:rPr>
          <w:rFonts w:ascii="Times New Roman" w:cs="Times New Roman" w:eastAsia="Times New Roman" w:hAnsi="Times New Roman"/>
          <w:sz w:val="22"/>
          <w:szCs w:val="22"/>
        </w:rPr>
        <w:t xml:space="preserve">Against this, Little et al. (2009) reviewed the evidence for non-linearity across multiple human epidemiological cohorts and concluded that the balance of evidence does not justify departing from linearity as a default assumption. The BEIR VII report (NRC, 2006) reached a similar conclusion, endorsing LNT as the most defensible basis for radiation protection policy given available human data. Our analysis neither confirms nor refutes these assessments; it quantifies the minimum empirical condition (10–20% baseline suppression) that would be required for the LSS data to prefer a sub-linear model.</w:t>
      </w:r>
    </w:p>
    <w:p>
      <w:pPr>
        <w:spacing w:after="80" w:before="80" w:line="360" w:lineRule="auto"/>
        <w:jc w:val="both"/>
      </w:pPr>
      <w:r>
        <w:rPr>
          <w:rFonts w:ascii="Times New Roman" w:cs="Times New Roman" w:eastAsia="Times New Roman" w:hAnsi="Times New Roman"/>
          <w:sz w:val="22"/>
          <w:szCs w:val="22"/>
        </w:rPr>
        <w:t xml:space="preserve">One additional consideration is that the 10–20% threshold is itself a property of the NGAM applied to the specific LSS-14 data, with the specific demographic covariate adjustment used here. Alternative covariate specifications, different dose metrics, or extended follow-up could move this threshold. The sensitivity analysis should therefore be interpreted as characterising the boundary conditions of the current dataset and model, not as a universal threshold for detecting hormesis in radiation epidemiology.</w:t>
      </w:r>
    </w:p>
    <w:p>
      <w:pPr>
        <w:spacing w:after="120" w:before="240"/>
      </w:pPr>
      <w:r>
        <w:rPr>
          <w:rFonts w:ascii="Times New Roman" w:cs="Times New Roman" w:eastAsia="Times New Roman" w:hAnsi="Times New Roman"/>
          <w:b/>
          <w:bCs/>
          <w:color w:val="000000"/>
          <w:sz w:val="26"/>
          <w:szCs w:val="26"/>
        </w:rPr>
        <w:t xml:space="preserve">6.3 Model Stability and the Role of Model 1</w:t>
      </w:r>
    </w:p>
    <w:p>
      <w:pPr>
        <w:spacing w:after="80" w:before="80" w:line="360" w:lineRule="auto"/>
        <w:jc w:val="both"/>
      </w:pPr>
      <w:r>
        <w:rPr>
          <w:rFonts w:ascii="Times New Roman" w:cs="Times New Roman" w:eastAsia="Times New Roman" w:hAnsi="Times New Roman"/>
          <w:sz w:val="22"/>
          <w:szCs w:val="22"/>
        </w:rPr>
        <w:t xml:space="preserve">The pronounced instability of Model 1 — the joint training architecture — near 1 Gy deserves brief discussion beyond its role in motivating Model 2. The co-localisation of the dip with data-sparse regions is mechanistically explicable: in dose bins with few cancer events, the neural network can improve training loss by fitting the sampling noise in those bins, since the Poisson negative log-likelihood is concave and any downward deviation in a low-count bin contributes proportionally less to the total loss than it would in a data-rich bin. The staged training procedure in Model 2 prevents this because the GLM stage cannot overfit in this way (it is a convex problem with a unique global minimum), and the neural dose branch has strictly less flexibility to allocate gradient updates to individual data points than a jointly trained network.</w:t>
      </w:r>
    </w:p>
    <w:p>
      <w:pPr>
        <w:spacing w:after="80" w:before="80" w:line="360" w:lineRule="auto"/>
        <w:jc w:val="both"/>
      </w:pPr>
      <w:r>
        <w:rPr>
          <w:rFonts w:ascii="Times New Roman" w:cs="Times New Roman" w:eastAsia="Times New Roman" w:hAnsi="Times New Roman"/>
          <w:sz w:val="22"/>
          <w:szCs w:val="22"/>
        </w:rPr>
        <w:t xml:space="preserve">The qualitative difference in stability between Model 1 and Model 2 — visible in the architecture ablation results — is therefore not surprising but is practically important: it demonstrates that the choice of training procedure meaningfully affects the reliability of the learned dose–response shape, and that staged training is a preferable design for this problem.</w:t>
      </w:r>
    </w:p>
    <w:p>
      <w:pPr>
        <w:spacing w:after="120" w:before="240"/>
      </w:pPr>
      <w:r>
        <w:rPr>
          <w:rFonts w:ascii="Times New Roman" w:cs="Times New Roman" w:eastAsia="Times New Roman" w:hAnsi="Times New Roman"/>
          <w:b/>
          <w:bCs/>
          <w:color w:val="000000"/>
          <w:sz w:val="26"/>
          <w:szCs w:val="26"/>
        </w:rPr>
        <w:t xml:space="preserve">6.4 Limitations</w:t>
      </w:r>
    </w:p>
    <w:p>
      <w:pPr>
        <w:spacing w:after="80" w:before="80" w:line="360" w:lineRule="auto"/>
        <w:jc w:val="both"/>
      </w:pPr>
      <w:r>
        <w:rPr>
          <w:rFonts w:ascii="Times New Roman" w:cs="Times New Roman" w:eastAsia="Times New Roman" w:hAnsi="Times New Roman"/>
          <w:sz w:val="22"/>
          <w:szCs w:val="22"/>
        </w:rPr>
        <w:t xml:space="preserve">Several limitations warrant explicit acknowledgement. First, the LSS dataset contains relatively few person-years at doses below 100 mGy, which is precisely the dose range most relevant for distinguishing LNT from threshold or hormetic models. The wide bootstrap confidence intervals in this region reflect genuine statistical uncertainty rather than model instability. No analysis of the existing LSS data — regardless of statistical method — can resolve this uncertainty without additional data from the low-dose exposure range. Our sensitivity analysis therefore characterises the space of plausible dose–response shapes rather than identifying a single preferred model.</w:t>
      </w:r>
    </w:p>
    <w:p>
      <w:pPr>
        <w:spacing w:after="80" w:before="80" w:line="360" w:lineRule="auto"/>
        <w:jc w:val="both"/>
      </w:pPr>
      <w:r>
        <w:rPr>
          <w:rFonts w:ascii="Times New Roman" w:cs="Times New Roman" w:eastAsia="Times New Roman" w:hAnsi="Times New Roman"/>
          <w:sz w:val="22"/>
          <w:szCs w:val="22"/>
        </w:rPr>
        <w:t xml:space="preserve">Second, the NGAM as implemented does not include a neutron dose component or separate high- and low-LET components. The weighted colon dose metric used in LSS-14 partly addresses this, but any residual quality factor variation could confound the dose–response shape. Third, the sensitivity analysis treats the bias correction δ as uniform across all demographic strata, which is a simplification; in reality, any hormetic effect might vary by age at exposure, sex, or smoking status. Fourth, the neural dose branch has limited interpretability compared to parametric models: while the learned curve can be read as a log-RR function, the internal weights do not correspond to interpretable biological parameters.</w:t>
      </w:r>
    </w:p>
    <w:p>
      <w:pPr>
        <w:spacing w:after="80" w:before="80" w:line="360" w:lineRule="auto"/>
        <w:jc w:val="both"/>
      </w:pPr>
      <w:r>
        <w:rPr>
          <w:rFonts w:ascii="Times New Roman" w:cs="Times New Roman" w:eastAsia="Times New Roman" w:hAnsi="Times New Roman"/>
          <w:sz w:val="22"/>
          <w:szCs w:val="22"/>
        </w:rPr>
        <w:t xml:space="preserve">Fifth and most importantly, the analysis addresses a very specific form of model misspecification — baseline suppression in the reference group — but does not account for other potential sources of bias, including heterogeneity in dosimetric uncertainty across the dose range, or time-varying confounding in the long-term follow-up. These limitations are shared with essentially all existing LSS analyses and should motivate continued methodological development rather than precluding the current analysis.</w:t>
      </w:r>
    </w:p>
    <w:p>
      <w:pPr>
        <w:spacing w:after="120" w:before="240"/>
      </w:pPr>
      <w:r>
        <w:rPr>
          <w:rFonts w:ascii="Times New Roman" w:cs="Times New Roman" w:eastAsia="Times New Roman" w:hAnsi="Times New Roman"/>
          <w:b/>
          <w:bCs/>
          <w:color w:val="000000"/>
          <w:sz w:val="26"/>
          <w:szCs w:val="26"/>
        </w:rPr>
        <w:t xml:space="preserve">6.5 Future Directions</w:t>
      </w:r>
    </w:p>
    <w:p>
      <w:pPr>
        <w:spacing w:after="80" w:before="80" w:line="360" w:lineRule="auto"/>
        <w:jc w:val="both"/>
      </w:pPr>
      <w:r>
        <w:rPr>
          <w:rFonts w:ascii="Times New Roman" w:cs="Times New Roman" w:eastAsia="Times New Roman" w:hAnsi="Times New Roman"/>
          <w:sz w:val="22"/>
          <w:szCs w:val="22"/>
        </w:rPr>
        <w:t xml:space="preserve">Several extensions of this framework would be valuable. A power analysis estimating the additional person-years of low-dose follow-up required to discriminate LNT from a 10–15% hormetic effect at 5% significance would directly inform data collection priorities for the ongoing LSS follow-up. Incorporating the nuclear worker cohort data (Richardson et al., 2015) and the INWORKS occupational study cohort as external validation sets would allow the NGAM to be tested on dose–response data independent of the atomic bomb context. A hierarchical NGAM that allows the dose–response shape to vary by sex and age at exposure could test whether the sub-linear signal is concentrated in specific demographic subgroups. Finally, applying the staged NGAM to simulated datasets generated under known LNT, threshold, and hormetic models — including models with specific biological parameters — would provide a more comprehensive characterisation of statistical power as a function of cohort size, follow-up duration, and dose distribution.</w:t>
      </w:r>
    </w:p>
    <w:p>
      <w:pPr>
        <w:spacing w:after="120" w:before="360"/>
      </w:pPr>
      <w:r>
        <w:rPr>
          <w:rFonts w:ascii="Times New Roman" w:cs="Times New Roman" w:eastAsia="Times New Roman" w:hAnsi="Times New Roman"/>
          <w:b/>
          <w:bCs/>
          <w:color w:val="1A1A6E"/>
          <w:sz w:val="32"/>
          <w:szCs w:val="32"/>
        </w:rPr>
        <w:t xml:space="preserve">7. Conclusion</w:t>
      </w:r>
    </w:p>
    <w:p>
      <w:pPr>
        <w:spacing w:after="80" w:before="80" w:line="360" w:lineRule="auto"/>
        <w:jc w:val="both"/>
      </w:pPr>
      <w:r>
        <w:rPr>
          <w:rFonts w:ascii="Times New Roman" w:cs="Times New Roman" w:eastAsia="Times New Roman" w:hAnsi="Times New Roman"/>
          <w:sz w:val="22"/>
          <w:szCs w:val="22"/>
        </w:rPr>
        <w:t xml:space="preserve">We have introduced a staged Semi-Parametric Neural Additive Model that separates demographic confounding from dose-related nonlinearity in the LSS-14 cohort, and applied it to a systematic sensitivity analysis of baseline assumptions motivated by Doss (2013). Under standard assumptions, the NGAM recovers a dose–response consistent with linear increasing risk, validating the methodology and confirming that the model does not generate spurious sub-linearity when the data do not support it. A baseline upward correction of 10–20% — operationalising the hypothesis that the LSS reference group may itself exhibit suppressed cancer rates — is sufficient to produce statistically detectable sub-linear curvature in the low-dose region, with the exact threshold lying within the range of corrections suggested by independent epidemiological data. This result does not constitute evidence that hormesis is real; it quantifies the conditions under which the existing LSS data become consistent with sub-linear models. Future efforts to collect additional low-dose follow-up data, and to apply flexible nonparametric methods to independent occupational cohorts, will be necessary to move beyond sensitivity characterisation toward model discrimination.</w:t>
      </w:r>
    </w:p>
    <w:p>
      <w:pPr>
        <w:spacing w:after="120" w:before="360"/>
      </w:pPr>
      <w:r>
        <w:rPr>
          <w:rFonts w:ascii="Times New Roman" w:cs="Times New Roman" w:eastAsia="Times New Roman" w:hAnsi="Times New Roman"/>
          <w:b/>
          <w:bCs/>
          <w:color w:val="1A1A6E"/>
          <w:sz w:val="32"/>
          <w:szCs w:val="32"/>
        </w:rPr>
        <w:t xml:space="preserve">References</w:t>
      </w:r>
    </w:p>
    <w:p>
      <w:pPr>
        <w:spacing w:after="80" w:before="80" w:line="360" w:lineRule="auto"/>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National Research Council (NRC). (2006). </w:t>
      </w:r>
      <w:r>
        <w:rPr>
          <w:rFonts w:ascii="Times New Roman" w:cs="Times New Roman" w:eastAsia="Times New Roman" w:hAnsi="Times New Roman"/>
          <w:i/>
          <w:iCs/>
          <w:sz w:val="22"/>
          <w:szCs w:val="22"/>
        </w:rPr>
        <w:t xml:space="preserve">Health Risks from Exposure to Low Levels of Ionizing Radiation: BEIR VII Phase 2.</w:t>
      </w:r>
      <w:r>
        <w:rPr>
          <w:rFonts w:ascii="Times New Roman" w:cs="Times New Roman" w:eastAsia="Times New Roman" w:hAnsi="Times New Roman"/>
          <w:sz w:val="22"/>
          <w:szCs w:val="22"/>
        </w:rPr>
        <w:t xml:space="preserve"> National Academies Press, Washington, D.C.</w:t>
      </w:r>
    </w:p>
    <w:p>
      <w:pPr>
        <w:spacing w:after="80" w:before="80" w:line="360" w:lineRule="auto"/>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Ozasa, K., Shimizu, Y., Suyama, A., et al. (2012). Studies of the mortality of atomic bomb survivors, Report 14, 1950–2003: An overview of cancer and noncancer diseases. </w:t>
      </w:r>
      <w:r>
        <w:rPr>
          <w:rFonts w:ascii="Times New Roman" w:cs="Times New Roman" w:eastAsia="Times New Roman" w:hAnsi="Times New Roman"/>
          <w:i/>
          <w:iCs/>
          <w:sz w:val="22"/>
          <w:szCs w:val="22"/>
        </w:rPr>
        <w:t xml:space="preserve">Radiation Research</w:t>
      </w:r>
      <w:r>
        <w:rPr>
          <w:rFonts w:ascii="Times New Roman" w:cs="Times New Roman" w:eastAsia="Times New Roman" w:hAnsi="Times New Roman"/>
          <w:sz w:val="22"/>
          <w:szCs w:val="22"/>
        </w:rPr>
        <w:t xml:space="preserve">, 177(3), 229–243.</w:t>
      </w:r>
    </w:p>
    <w:p>
      <w:pPr>
        <w:spacing w:after="80" w:before="80" w:line="360" w:lineRule="auto"/>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Preston, D.L., Shimizu, Y., Pierce, D.A., Suyama, A., &amp; Mabuchi, K. (2003). Studies of mortality of atomic bomb survivors. Report 13: Solid cancer and noncancer disease mortality: 1950–1997. </w:t>
      </w:r>
      <w:r>
        <w:rPr>
          <w:rFonts w:ascii="Times New Roman" w:cs="Times New Roman" w:eastAsia="Times New Roman" w:hAnsi="Times New Roman"/>
          <w:i/>
          <w:iCs/>
          <w:sz w:val="22"/>
          <w:szCs w:val="22"/>
        </w:rPr>
        <w:t xml:space="preserve">Radiation Research</w:t>
      </w:r>
      <w:r>
        <w:rPr>
          <w:rFonts w:ascii="Times New Roman" w:cs="Times New Roman" w:eastAsia="Times New Roman" w:hAnsi="Times New Roman"/>
          <w:sz w:val="22"/>
          <w:szCs w:val="22"/>
        </w:rPr>
        <w:t xml:space="preserve">, 160(4), 381–407.</w:t>
      </w:r>
    </w:p>
    <w:p>
      <w:pPr>
        <w:spacing w:after="80" w:before="80" w:line="360" w:lineRule="auto"/>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Little, M.P., Wakeford, R., Tawn, E.J., Bouffler, S.D., &amp; Berrington de Gonzalez, A. (2009). Risks associated with low doses and low dose rates of ionizing radiation: Why linearity may be (almost) the best we can do. </w:t>
      </w:r>
      <w:r>
        <w:rPr>
          <w:rFonts w:ascii="Times New Roman" w:cs="Times New Roman" w:eastAsia="Times New Roman" w:hAnsi="Times New Roman"/>
          <w:i/>
          <w:iCs/>
          <w:sz w:val="22"/>
          <w:szCs w:val="22"/>
        </w:rPr>
        <w:t xml:space="preserve">Radiology</w:t>
      </w:r>
      <w:r>
        <w:rPr>
          <w:rFonts w:ascii="Times New Roman" w:cs="Times New Roman" w:eastAsia="Times New Roman" w:hAnsi="Times New Roman"/>
          <w:sz w:val="22"/>
          <w:szCs w:val="22"/>
        </w:rPr>
        <w:t xml:space="preserve">, 251(1), 6–12.</w:t>
      </w:r>
    </w:p>
    <w:p>
      <w:pPr>
        <w:spacing w:after="80" w:before="80" w:line="360" w:lineRule="auto"/>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Doss, M. (2013). Linear no-threshold model vs. radiation hormesis. </w:t>
      </w:r>
      <w:r>
        <w:rPr>
          <w:rFonts w:ascii="Times New Roman" w:cs="Times New Roman" w:eastAsia="Times New Roman" w:hAnsi="Times New Roman"/>
          <w:i/>
          <w:iCs/>
          <w:sz w:val="22"/>
          <w:szCs w:val="22"/>
        </w:rPr>
        <w:t xml:space="preserve">Dose-Response</w:t>
      </w:r>
      <w:r>
        <w:rPr>
          <w:rFonts w:ascii="Times New Roman" w:cs="Times New Roman" w:eastAsia="Times New Roman" w:hAnsi="Times New Roman"/>
          <w:sz w:val="22"/>
          <w:szCs w:val="22"/>
        </w:rPr>
        <w:t xml:space="preserve">, 11(4), 480–497.</w:t>
      </w:r>
    </w:p>
    <w:p>
      <w:pPr>
        <w:spacing w:after="80" w:before="80" w:line="360" w:lineRule="auto"/>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Hwang, S.L., Guo, H.R., Hsieh, W.A., et al. (2006). Cancer risks in a population with prolonged low dose-rate γ-radiation exposure in radiocontaminated buildings, 1983–2002. </w:t>
      </w:r>
      <w:r>
        <w:rPr>
          <w:rFonts w:ascii="Times New Roman" w:cs="Times New Roman" w:eastAsia="Times New Roman" w:hAnsi="Times New Roman"/>
          <w:i/>
          <w:iCs/>
          <w:sz w:val="22"/>
          <w:szCs w:val="22"/>
        </w:rPr>
        <w:t xml:space="preserve">International Journal of Radiation Biology</w:t>
      </w:r>
      <w:r>
        <w:rPr>
          <w:rFonts w:ascii="Times New Roman" w:cs="Times New Roman" w:eastAsia="Times New Roman" w:hAnsi="Times New Roman"/>
          <w:sz w:val="22"/>
          <w:szCs w:val="22"/>
        </w:rPr>
        <w:t xml:space="preserve">, 82(12), 849–858.</w:t>
      </w:r>
    </w:p>
    <w:p>
      <w:pPr>
        <w:spacing w:after="80" w:before="80" w:line="360" w:lineRule="auto"/>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Ozasa, K., Grant, E.J., &amp; Kodama, K. (2018). Japanese Legacy Cohorts: The Life Span Study atomic bomb survivor cohort and survivors' offspring. </w:t>
      </w:r>
      <w:r>
        <w:rPr>
          <w:rFonts w:ascii="Times New Roman" w:cs="Times New Roman" w:eastAsia="Times New Roman" w:hAnsi="Times New Roman"/>
          <w:i/>
          <w:iCs/>
          <w:sz w:val="22"/>
          <w:szCs w:val="22"/>
        </w:rPr>
        <w:t xml:space="preserve">Journal of Epidemiology</w:t>
      </w:r>
      <w:r>
        <w:rPr>
          <w:rFonts w:ascii="Times New Roman" w:cs="Times New Roman" w:eastAsia="Times New Roman" w:hAnsi="Times New Roman"/>
          <w:sz w:val="22"/>
          <w:szCs w:val="22"/>
        </w:rPr>
        <w:t xml:space="preserve">, 28(4), 162–169.</w:t>
      </w:r>
    </w:p>
    <w:p>
      <w:pPr>
        <w:spacing w:after="80" w:before="80" w:line="360" w:lineRule="auto"/>
        <w:jc w:val="both"/>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Richardson, D.B., Cardis, E., Daniels, R.D., et al. (2015). Risk of cancer from occupational exposure to ionising radiation: Retrospective cohort study of workers in France, the United Kingdom, and the United States (INWORKS). </w:t>
      </w:r>
      <w:r>
        <w:rPr>
          <w:rFonts w:ascii="Times New Roman" w:cs="Times New Roman" w:eastAsia="Times New Roman" w:hAnsi="Times New Roman"/>
          <w:i/>
          <w:iCs/>
          <w:sz w:val="22"/>
          <w:szCs w:val="22"/>
        </w:rPr>
        <w:t xml:space="preserve">BMJ</w:t>
      </w:r>
      <w:r>
        <w:rPr>
          <w:rFonts w:ascii="Times New Roman" w:cs="Times New Roman" w:eastAsia="Times New Roman" w:hAnsi="Times New Roman"/>
          <w:sz w:val="22"/>
          <w:szCs w:val="22"/>
        </w:rPr>
        <w:t xml:space="preserve">, 351, h5359.</w:t>
      </w:r>
    </w:p>
    <w:p>
      <w:pPr>
        <w:spacing w:after="80" w:before="80" w:line="360" w:lineRule="auto"/>
        <w:jc w:val="both"/>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Tibshirani, R.J., &amp; Efron, B. (1993). </w:t>
      </w:r>
      <w:r>
        <w:rPr>
          <w:rFonts w:ascii="Times New Roman" w:cs="Times New Roman" w:eastAsia="Times New Roman" w:hAnsi="Times New Roman"/>
          <w:i/>
          <w:iCs/>
          <w:sz w:val="22"/>
          <w:szCs w:val="22"/>
        </w:rPr>
        <w:t xml:space="preserve">An introduction to the bootstrap.</w:t>
      </w:r>
      <w:r>
        <w:rPr>
          <w:rFonts w:ascii="Times New Roman" w:cs="Times New Roman" w:eastAsia="Times New Roman" w:hAnsi="Times New Roman"/>
          <w:sz w:val="22"/>
          <w:szCs w:val="22"/>
        </w:rPr>
        <w:t xml:space="preserve"> Chapman &amp; Hall/CRC.</w:t>
      </w:r>
    </w:p>
    <w:p>
      <w:pPr>
        <w:spacing w:after="80" w:before="80" w:line="360" w:lineRule="auto"/>
        <w:jc w:val="both"/>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Paszke, A., Gross, S., Massa, F., et al. (2019). PyTorch: An imperative style, high-performance deep learning library. </w:t>
      </w:r>
      <w:r>
        <w:rPr>
          <w:rFonts w:ascii="Times New Roman" w:cs="Times New Roman" w:eastAsia="Times New Roman" w:hAnsi="Times New Roman"/>
          <w:i/>
          <w:iCs/>
          <w:sz w:val="22"/>
          <w:szCs w:val="22"/>
        </w:rPr>
        <w:t xml:space="preserve">Advances in Neural Information Processing Systems</w:t>
      </w:r>
      <w:r>
        <w:rPr>
          <w:rFonts w:ascii="Times New Roman" w:cs="Times New Roman" w:eastAsia="Times New Roman" w:hAnsi="Times New Roman"/>
          <w:sz w:val="22"/>
          <w:szCs w:val="22"/>
        </w:rPr>
        <w:t xml:space="preserve">, 32.</w:t>
      </w:r>
    </w:p>
    <w:p>
      <w:pPr>
        <w:spacing w:after="80" w:before="80" w:line="360" w:lineRule="auto"/>
        <w:jc w:val="both"/>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Kingma, D.P., &amp; Ba, J. (2015). Adam: A method for stochastic optimization. </w:t>
      </w:r>
      <w:r>
        <w:rPr>
          <w:rFonts w:ascii="Times New Roman" w:cs="Times New Roman" w:eastAsia="Times New Roman" w:hAnsi="Times New Roman"/>
          <w:i/>
          <w:iCs/>
          <w:sz w:val="22"/>
          <w:szCs w:val="22"/>
        </w:rPr>
        <w:t xml:space="preserve">Proceedings of the 3rd International Conference on Learning Representations (ICLR)</w:t>
      </w:r>
    </w:p>
    <w:p>
      <w:pPr>
        <w:spacing w:after="80" w:before="80" w:line="360" w:lineRule="auto"/>
        <w:jc w:val="both"/>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Hastie, T., &amp; Tibshirani, R. (1986). Generalized additive models. </w:t>
      </w:r>
      <w:r>
        <w:rPr>
          <w:rFonts w:ascii="Times New Roman" w:cs="Times New Roman" w:eastAsia="Times New Roman" w:hAnsi="Times New Roman"/>
          <w:i/>
          <w:iCs/>
          <w:sz w:val="22"/>
          <w:szCs w:val="22"/>
        </w:rPr>
        <w:t xml:space="preserve">Statistical Science</w:t>
      </w:r>
      <w:r>
        <w:rPr>
          <w:rFonts w:ascii="Times New Roman" w:cs="Times New Roman" w:eastAsia="Times New Roman" w:hAnsi="Times New Roman"/>
          <w:sz w:val="22"/>
          <w:szCs w:val="22"/>
        </w:rPr>
        <w:t xml:space="preserve">, 1(3), 297–310.</w:t>
      </w:r>
    </w:p>
    <w:p>
      <w:pPr>
        <w:pageBreakBefore/>
      </w:pPr>
    </w:p>
    <w:p>
      <w:pPr>
        <w:spacing w:after="120" w:before="360"/>
      </w:pPr>
      <w:r>
        <w:rPr>
          <w:rFonts w:ascii="Times New Roman" w:cs="Times New Roman" w:eastAsia="Times New Roman" w:hAnsi="Times New Roman"/>
          <w:b/>
          <w:bCs/>
          <w:color w:val="1A1A6E"/>
          <w:sz w:val="32"/>
          <w:szCs w:val="32"/>
        </w:rPr>
        <w:t xml:space="preserve">Supplementary Material</w:t>
      </w:r>
    </w:p>
    <w:p>
      <w:pPr>
        <w:spacing w:after="120" w:before="240"/>
      </w:pPr>
      <w:r>
        <w:rPr>
          <w:rFonts w:ascii="Times New Roman" w:cs="Times New Roman" w:eastAsia="Times New Roman" w:hAnsi="Times New Roman"/>
          <w:b/>
          <w:bCs/>
          <w:color w:val="000000"/>
          <w:sz w:val="26"/>
          <w:szCs w:val="26"/>
        </w:rPr>
        <w:t xml:space="preserve">Figure S1 Caption</w:t>
      </w:r>
    </w:p>
    <w:p>
      <w:pPr>
        <w:spacing w:after="80" w:before="80" w:line="360" w:lineRule="auto"/>
        <w:jc w:val="both"/>
      </w:pPr>
      <w:r>
        <w:rPr>
          <w:rFonts w:ascii="Times New Roman" w:cs="Times New Roman" w:eastAsia="Times New Roman" w:hAnsi="Times New Roman"/>
          <w:sz w:val="22"/>
          <w:szCs w:val="22"/>
        </w:rPr>
        <w:t xml:space="preserve">Dose–response curves estimated by Model 1 (joint training) across 200 bootstrap replicates under δ = 0%. Individual replicate curves are shown in light grey; the median is shown in red. The pronounced dip near 1 Gy, visible in many replicates, is architecture-dependent (see Figure S2) and co-localises with a region of low data density. This instability motivated the staged training procedure adopted in Model 2.</w:t>
      </w:r>
    </w:p>
    <w:p>
      <w:pPr>
        <w:spacing w:after="120" w:before="240"/>
      </w:pPr>
      <w:r>
        <w:rPr>
          <w:rFonts w:ascii="Times New Roman" w:cs="Times New Roman" w:eastAsia="Times New Roman" w:hAnsi="Times New Roman"/>
          <w:b/>
          <w:bCs/>
          <w:color w:val="000000"/>
          <w:sz w:val="26"/>
          <w:szCs w:val="26"/>
        </w:rPr>
        <w:t xml:space="preserve">Figure S2 Caption</w:t>
      </w:r>
    </w:p>
    <w:p>
      <w:pPr>
        <w:spacing w:after="80" w:before="80" w:line="360" w:lineRule="auto"/>
        <w:jc w:val="both"/>
      </w:pPr>
      <w:r>
        <w:rPr>
          <w:rFonts w:ascii="Times New Roman" w:cs="Times New Roman" w:eastAsia="Times New Roman" w:hAnsi="Times New Roman"/>
          <w:sz w:val="22"/>
          <w:szCs w:val="22"/>
        </w:rPr>
        <w:t xml:space="preserve">Architecture ablation results for Model 1 (joint training, left panel) and Model 2 (staged training, right panel) under δ = 0%. Each panel shows the median dose–response curve and 95% confidence band for MLP architectures of 4 (light blue), 8 (blue), 16 (primary, dark blue), and 32 (navy) units per hidden layer. The instability of the 1 Gy dip across architectures in Model 1 contrasts with the stability of the low-dose shape across architectures in Model 2.</w:t>
      </w:r>
    </w:p>
    <w:p>
      <w:pPr>
        <w:spacing w:after="120" w:before="240"/>
      </w:pPr>
      <w:r>
        <w:rPr>
          <w:rFonts w:ascii="Times New Roman" w:cs="Times New Roman" w:eastAsia="Times New Roman" w:hAnsi="Times New Roman"/>
          <w:b/>
          <w:bCs/>
          <w:color w:val="000000"/>
          <w:sz w:val="26"/>
          <w:szCs w:val="26"/>
        </w:rPr>
        <w:t xml:space="preserve">Code Availability</w:t>
      </w:r>
    </w:p>
    <w:p>
      <w:pPr>
        <w:spacing w:after="80" w:before="80" w:line="360" w:lineRule="auto"/>
        <w:jc w:val="both"/>
      </w:pPr>
      <w:r>
        <w:rPr>
          <w:rFonts w:ascii="Times New Roman" w:cs="Times New Roman" w:eastAsia="Times New Roman" w:hAnsi="Times New Roman"/>
          <w:sz w:val="22"/>
          <w:szCs w:val="22"/>
        </w:rPr>
        <w:t xml:space="preserve">All analysis code, including the staged NGAM training pipeline, bootstrap procedure, and bias sensitivity analysis, is provided in the supplementary materials. The code is implemented in Python using PyTorch, NumPy, SciPy, and Pandas. The full bootstrap loop, GLM fitting routine, and JSON output generation are included.</w:t>
      </w:r>
    </w:p>
    <w:p>
      <w:pPr>
        <w:spacing w:after="120" w:before="240"/>
      </w:pPr>
      <w:r>
        <w:rPr>
          <w:rFonts w:ascii="Times New Roman" w:cs="Times New Roman" w:eastAsia="Times New Roman" w:hAnsi="Times New Roman"/>
          <w:b/>
          <w:bCs/>
          <w:color w:val="000000"/>
          <w:sz w:val="26"/>
          <w:szCs w:val="26"/>
        </w:rPr>
        <w:t xml:space="preserve">Data Availability</w:t>
      </w:r>
    </w:p>
    <w:p>
      <w:pPr>
        <w:spacing w:after="80" w:before="80" w:line="360" w:lineRule="auto"/>
        <w:jc w:val="both"/>
      </w:pPr>
      <w:r>
        <w:rPr>
          <w:rFonts w:ascii="Times New Roman" w:cs="Times New Roman" w:eastAsia="Times New Roman" w:hAnsi="Times New Roman"/>
          <w:sz w:val="22"/>
          <w:szCs w:val="22"/>
        </w:rPr>
        <w:t xml:space="preserve">The LSS Report 14 dataset (lss14.csv) is derived from the Radiation Effects Research Foundation (RERF) Life Span Study data. Researchers may apply for access to these data directly through the RERF data sharing programme at www.rerf.or.jp. The preprocessed analytic dataset used in this study cannot be publicly shared due to RERF data use agreement restrictions, but the preprocessing code is provided in full to enable replication from the original data.</w:t>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spacing w:after="120"/>
    </w:pPr>
    <w:r>
      <w:rPr>
        <w:rFonts w:ascii="Times New Roman" w:cs="Times New Roman" w:eastAsia="Times New Roman" w:hAnsi="Times New Roman"/>
        <w:i/>
        <w:iCs/>
        <w:color w:val="555555"/>
        <w:sz w:val="18"/>
        <w:szCs w:val="18"/>
      </w:rPr>
      <w:t xml:space="preserve">Semi-Parametric NGAM for LSS Dose–Response</w:t>
    </w:r>
    <w:r>
      <w:rPr>
        <w:rFonts w:ascii="Times New Roman" w:cs="Times New Roman" w:eastAsia="Times New Roman" w:hAnsi="Times New Roman"/>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2026-04-22T11:53:00.079Z</dcterms:created>
  <dcterms:modified xsi:type="dcterms:W3CDTF">2026-04-22T11:53:00.080Z</dcterms:modified>
</cp:coreProperties>
</file>

<file path=docProps/custom.xml><?xml version="1.0" encoding="utf-8"?>
<Properties xmlns="http://schemas.openxmlformats.org/officeDocument/2006/custom-properties" xmlns:vt="http://schemas.openxmlformats.org/officeDocument/2006/docPropsVTypes"/>
</file>