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PartName="/word/media/riskmatrix.jpeg" ContentType="image/jpe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Nitin</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new project</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13,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Style w:val="Heading3"/>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Pr>
          <w:color w:val="000000"/>
        </w:rPr>
        <w:t xml:space="preserve">The conclusions and recommendations in this report represent the opinions of SecurifyAI.</w:t>
      </w:r>
    </w:p>
    <w:p w:rsidR="00000000" w:rsidDel="00000000" w:rsidP="00000000" w:rsidRDefault="00000000" w:rsidRPr="00000000" w14:paraId="00000026">
      <w:pPr>
        <w:tabs>
          <w:tab w:val="right" w:leader="none" w:pos="9360"/>
          <w:tab w:val="right" w:leader="none" w:pos="9360"/>
        </w:tabs>
        <w:rPr/>
      </w:pPr>
      <w:r>
        <w:rPr>
          <w:color w:val="000000"/>
        </w:rPr>
        <w:t xml:space="preserve">Determinations of appropriate corrective action(s) are the responsibility of the entity receiving the report.</w:t>
      </w:r>
    </w:p>
    <w:p w:rsidR="00000000" w:rsidDel="00000000" w:rsidP="00000000" w:rsidRDefault="00000000" w:rsidRPr="00000000" w14:paraId="00000026">
      <w:pPr>
        <w:tabs>
          <w:tab w:val="right" w:leader="none" w:pos="9360"/>
          <w:tab w:val="right" w:leader="none" w:pos="9360"/>
        </w:tabs>
        <w:rPr/>
      </w:pPr>
      <w:r>
        <w:rPr>
          <w:color w:val="000000"/>
        </w:rPr>
        <w:t xml:space="preserve">This report and/or any other materials furnished by SecurifyAI in connection with this engagement is confidential and may not be duplicated, modified or otherwise reproduced and distributed without the express prior written consent of SecurifyAI or Nitin.</w:t>
      </w:r>
    </w:p>
    <w:p w:rsidR="00000000" w:rsidDel="00000000" w:rsidP="00000000" w:rsidRDefault="00000000" w:rsidRPr="00000000" w14:paraId="00000026">
      <w:pPr>
        <w:tabs>
          <w:tab w:val="right" w:leader="none" w:pos="9360"/>
          <w:tab w:val="right" w:leader="none" w:pos="9360"/>
        </w:tabs>
        <w:rPr/>
      </w:pPr>
      <w:r>
        <w:rPr>
          <w:color w:val="000000"/>
        </w:rPr>
        <w:t xml:space="preserve">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3"/>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3"/>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000000"/>
        </w:rPr>
        <w:t xml:space="preserve">As part of an ongoing security program, Nitin identified the need to conduct an application security assessment of its Web application &amp; APIs.</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666666"/>
          <w:i w:val="1"/>
          <w:iCs w:val="1"/>
        </w:rPr>
        <w:t xml:space="preserve">The following lists the objectives of this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666666"/>
          <w:i w:val="1"/>
          <w:iCs w:val="1"/>
        </w:rPr>
        <w:t xml:space="preserve">This report includes the following parameters and results of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SecurifyAI's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F">
      <w:pPr>
        <w:pStyle w:val="Heading3"/>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Securify performed a Runtime Application Vulnerability Assessment of the Nitin's web application, associated APIs, and all components defined within the assessment scope.</w:t>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using industry-accepted methodologies, primarily based on the OWASP Web Security Testing Guide (WSTG) and OWASP ASVS, and involved both manual testing and automated analysis.</w:t>
      </w:r>
    </w:p>
    <w:p w:rsidR="00000000" w:rsidDel="00000000" w:rsidP="00000000" w:rsidRDefault="00000000" w:rsidRPr="00000000" w14:paraId="00000053">
      <w:pPr>
        <w:pStyle w:val="Heading3"/>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Nitin to ascertain the kinds of vulnerabilities that may be realistically exploited. A Runtime Application Vulnerability Assessment includes the following phases: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Information Gathering</w:t>
      </w:r>
      <w:r>
        <w:rPr>
          <w:color w:val="000000"/>
        </w:rPr>
        <w:t xml:space="preserve"> – 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Authentication Testing</w:t>
      </w:r>
      <w:r>
        <w:rPr>
          <w:color w:val="000000"/>
        </w:rPr>
        <w:t xml:space="preserve"> – 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Authorization Testing</w:t>
      </w:r>
      <w:r>
        <w:rPr>
          <w:color w:val="000000"/>
        </w:rPr>
        <w:t xml:space="preserve"> – 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Session Management</w:t>
      </w:r>
      <w:r>
        <w:rPr>
          <w:color w:val="000000"/>
        </w:rPr>
        <w:t xml:space="preserve"> – 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Input Validation Attacks</w:t>
      </w:r>
      <w:r>
        <w:rPr>
          <w:color w:val="000000"/>
        </w:rPr>
        <w:t xml:space="preserve"> – 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Business Logic Testing</w:t>
      </w:r>
      <w:r>
        <w:rPr>
          <w:color w:val="000000"/>
        </w:rPr>
        <w:t xml:space="preserve"> – 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3"/>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between May 11, 2026 and May 16, 2026. The re-assessment was conducted between May 11, 2026 and May 16, 2026. Testing was performed remotely.</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scope of the assessment was limited to the environments and targets below:</w:t>
      </w:r>
    </w:p>
    <w:p>
      <w:pPr>
        <w:spacing w:before="240" w:after="120"/>
        <w:rPr>
          <w:b w:val="1"/>
          <w:bCs w:val="1"/>
          <w:color w:val="40D31D"/>
          <w:sz w:val="24"/>
          <w:szCs w:val="24"/>
        </w:rPr>
      </w:pPr>
      <w:r>
        <w:rPr>
          <w:b w:val="1"/>
          <w:bCs w:val="1"/>
          <w:color w:val="40D31D"/>
          <w:sz w:val="24"/>
          <w:szCs w:val="24"/>
        </w:rPr>
        <w:t xml:space="preserve">Application Details</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dsnklbsdbds</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kjsdnbnlskndbvs</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dvjsnlbndlmvbs</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vskjdnvlnslvse</w:t>
            </w:r>
          </w:p>
        </w:tc>
      </w:tr>
    </w:tbl>
    <w:p>
      <w:pPr>
        <w:spacing w:after="240"/>
      </w:pPr>
    </w:p>
    <w:p>
      <w:pPr>
        <w:spacing w:before="240" w:after="120"/>
        <w:rPr>
          <w:b w:val="1"/>
          <w:bCs w:val="1"/>
          <w:color w:val="40D31D"/>
          <w:sz w:val="24"/>
          <w:szCs w:val="24"/>
        </w:rPr>
      </w:pPr>
      <w:r>
        <w:rPr>
          <w:b w:val="1"/>
          <w:bCs w:val="1"/>
          <w:color w:val="40D31D"/>
          <w:sz w:val="24"/>
          <w:szCs w:val="24"/>
        </w:rPr>
        <w:t xml:space="preserve">User Roles (Web application &amp; API)</w:t>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nvsjdnlbvksnv</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vjdsnvlnsdvms</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vjdsnvnsdlv</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kjvnsldnvsd</w:t>
            </w:r>
          </w:p>
        </w:tc>
      </w:tr>
    </w:tbl>
    <w:p>
      <w:pPr>
        <w:spacing w:after="240"/>
      </w:pPr>
    </w:p>
    <w:p>
      <w:pPr>
        <w:spacing w:before="240" w:after="120"/>
        <w:rPr>
          <w:b w:val="1"/>
          <w:bCs w:val="1"/>
          <w:color w:val="40D31D"/>
          <w:sz w:val="24"/>
          <w:szCs w:val="24"/>
        </w:rPr>
      </w:pPr>
      <w:r>
        <w:rPr>
          <w:b w:val="1"/>
          <w:bCs w:val="1"/>
          <w:color w:val="40D31D"/>
          <w:sz w:val="24"/>
          <w:szCs w:val="24"/>
        </w:rPr>
        <w:t xml:space="preserve">Tools</w:t>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pPr>
        <w:spacing w:after="240"/>
      </w:pP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
      </w: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The following components and tests were out of scope for this review:</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Any applications and infrastructure external to the Nitin's Web Application &amp; API.</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In cases where the Nitin's Web Application &amp; API had inbound and/or outbound interfaces with:</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Another application, the interfaces, and communications were considered in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All other external elements were excluded.</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Supporting policies, procedures, and processes.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Social Engineering.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Software Development Life Cycle.</w:t>
      </w:r>
    </w:p>
    <w:p w:rsidR="00000000" w:rsidDel="00000000" w:rsidP="00000000" w:rsidRDefault="00000000" w:rsidRPr="00000000" w14:paraId="0000008B">
      <w:pPr>
        <w:pStyle w:val="Heading3"/>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spacing w:before="120" w:after="240"/>
      </w:pPr>
      <w:r>
        <w:rPr>
          <w:color w:val="00000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Nitin. Thus, changes to the environment may impact the applicability of the results provided herein.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spacing w:before="120" w:after="240"/>
      </w:pPr>
      <w:r>
        <w:rPr>
          <w:color w:val="000000"/>
        </w:rPr>
        <w:t xml:space="preserve">SecurifyAI cannot guarantee 100% coverage for any security assessment.</w:t>
      </w:r>
    </w:p>
    <w:p w:rsidR="00000000" w:rsidDel="00000000" w:rsidP="00000000" w:rsidRDefault="00000000" w:rsidRPr="00000000" w14:paraId="00000092">
      <w:pPr>
        <w:pStyle w:val="Heading3"/>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3"/>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Pr>
          <w:color w:val="000000"/>
        </w:rPr>
        <w:t xml:space="preserve">The remainder of this report describes the vulnerabilities that SecurifyAI identified as part of the assessment, their impact, and recommendations for resolving the vulnerabilities. To assist in determining the risk posed by these vulnerabilities, SecurifyAI leverages the OWASP Application Security Risk Rating Methodology. The observations have been categorized based on technical Impact and Likelihood, explained below. These impact and likelihood scores may be further modified by Nitin based on the business criticality of the target.</w:t>
      </w:r>
    </w:p>
    <w:p w:rsidR="00000000" w:rsidDel="00000000" w:rsidP="00000000" w:rsidRDefault="00000000" w:rsidRPr="00000000" w14:paraId="00000095">
      <w:pPr>
        <w:pStyle w:val="Heading3"/>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spacing w:before="0" w:after="80" w:line="240" w:lineRule="auto"/>
      </w:pPr>
      <w:r>
        <w:rPr>
          <w:color w:val="00000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Low Impact</w:t>
      </w:r>
      <w:r>
        <w:rPr>
          <w:color w:val="000000"/>
        </w:rPr>
        <w:t xml:space="preserve">: When most/all factors indicate limited consequences (e.g., non-sensitive data, no ability to alter/delete key data, and low victim count).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Medium Impact</w:t>
      </w:r>
      <w:r>
        <w:rPr>
          <w:color w:val="000000"/>
        </w:rPr>
        <w:t xml:space="preserve">: When about half of the factors suggest higher damage and half point to limited effects.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High Impact</w:t>
      </w:r>
      <w:r>
        <w:rPr>
          <w:color w:val="000000"/>
        </w:rPr>
        <w:t xml:space="preserve">: When most/all factors highlight significant damage (e.g., sensitive data loss, wide data corruption, and a large number of victims).</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AC">
      <w:pPr>
        <w:pStyle w:val="Heading3"/>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spacing w:before="0" w:after="80" w:line="240" w:lineRule="auto"/>
      </w:pPr>
      <w:r>
        <w:rPr>
          <w:color w:val="00000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Low Likelihood</w:t>
      </w:r>
      <w:r>
        <w:rPr>
          <w:color w:val="000000"/>
        </w:rPr>
        <w:t xml:space="preserve">: Most/all factors suggest significant barriers to exploitation (e.g., complex skillset, limited attackers, high cost, or complex delivery).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Medium Likelihood</w:t>
      </w:r>
      <w:r>
        <w:rPr>
          <w:color w:val="000000"/>
        </w:rPr>
        <w:t xml:space="preserve">: About half the factors indicate ease of exploitation, while the other half show barriers.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High Likelihood</w:t>
      </w:r>
      <w:r>
        <w:rPr>
          <w:color w:val="000000"/>
        </w:rPr>
        <w:t xml:space="preserve">: Most/all factors point to easy and accessible exploitation (e.g., basic skills, low cost, and simple attack mechanisms).</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C3">
      <w:pPr>
        <w:pageBreakBefore w:val="1"/>
        <w:pStyle w:val="Heading3"/>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Pr>
          <w:color w:val="000000"/>
        </w:rPr>
        <w:t xml:space="preserve">The following graph illustrates how Impact x Likelihood scores translate to overall Low, Medium, and High-risk ratings:</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 + Low Likelihood</w:t>
      </w:r>
      <w:r>
        <w:rPr>
          <w:color w:val="000000"/>
        </w:rPr>
        <w:t xml:space="preserve">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 + High Likelihood</w:t>
      </w:r>
      <w:r>
        <w:rPr>
          <w:color w:val="000000"/>
        </w:rPr>
        <w:t xml:space="preserve"> = Critical Risk</w:t>
      </w:r>
    </w:p>
    <w:p>
      <w:pPr>
        <w:jc w:val="center"/>
      </w:pPr>
      <w:r>
        <w:drawing>
          <wp:inline xmlns:wp="http://schemas.openxmlformats.org/drawingml/2006/wordprocessingDrawing" distT="0" distB="0" distL="0" distR="0">
            <wp:extent cx="4400550" cy="3552825"/>
            <wp:effectExtent l="0" t="0" r="0" b="0"/>
            <wp:docPr id="999" name="Risk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Risk Matrix"/>
                    <pic:cNvPicPr/>
                  </pic:nvPicPr>
                  <pic:blipFill>
                    <a:blip xmlns:r="http://schemas.openxmlformats.org/officeDocument/2006/relationships" r:embed="rIdRiskMatrixImage"/>
                    <a:stretch>
                      <a:fillRect/>
                    </a:stretch>
                  </pic:blipFill>
                  <pic:spPr>
                    <a:xfrm>
                      <a:off x="0" y="0"/>
                      <a:ext cx="4400550" cy="3552825"/>
                    </a:xfrm>
                    <a:prstGeom prst="rect">
                      <a:avLst/>
                    </a:prstGeom>
                  </pic:spPr>
                </pic:pic>
              </a:graphicData>
            </a:graphic>
          </wp:inline>
        </w:drawing>
      </w:r>
    </w:p>
    <w:p w:rsidR="00000000" w:rsidDel="00000000" w:rsidP="00000000" w:rsidRDefault="00000000" w:rsidRPr="00000000" w14:paraId="000000C9">
      <w:pPr>
        <w:pStyle w:val="Heading3"/>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Pr>
          <w:color w:val="00000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p>
    <w:p>
      <w:r>
        <w:br w:type="page"/>
      </w:r>
    </w:p>
    <w:p w:rsidR="00000000" w:rsidDel="00000000" w:rsidP="00000000" w:rsidRDefault="00000000" w:rsidRPr="00000000" w14:paraId="000000CB">
      <w:pPr>
        <w:pStyle w:val="Heading3"/>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3"/>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Pr>
          <w:color w:val="000000"/>
        </w:rPr>
        <w:t xml:space="preserve">Below is a summary of the vulnerabilities discovered during the assessment, ranked in order of risk as determined.</w:t>
      </w:r>
    </w:p>
    <w:tbl>
      <w:tblPr>
        <w:tblStyle w:val="Table6"/>
        <w:tblW w:w="5000" w:type="pct"/>
        <w:jc w:val="left"/>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W w:type="pct" w:w="4250"/>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W w:type="pct" w:w="750"/>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W w:type="pct" w:w="4250"/>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Unauthenticated Access to Sensitive Auction Bid Information</w:t>
            </w:r>
          </w:p>
        </w:tc>
        <w:tc>
          <w:tcPr>
            <w:tcW w:type="pct" w:w="750"/>
            <w:tcBorders>
              <w:top w:color="eafde3" w:space="0" w:sz="8" w:val="single"/>
              <w:left w:color="eafde3" w:space="0" w:sz="8" w:val="single"/>
              <w:bottom w:color="eafde3" w:space="0" w:sz="8" w:val="single"/>
              <w:right w:color="eafde3" w:space="0" w:sz="8" w:val="single"/>
            </w:tcBorders>
            <w:shd w:fill="C0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Critical</w:t>
            </w:r>
          </w:p>
        </w:tc>
      </w:tr>
    </w:tbl>
    <w:p>
      <w:r>
        <w:br w:type="page"/>
      </w:r>
    </w:p>
    <w:p w:rsidR="00000000" w:rsidDel="00000000" w:rsidP="00000000" w:rsidRDefault="00000000" w:rsidRPr="00000000" w14:paraId="00000102">
      <w:pPr>
        <w:pStyle w:val="Heading3"/>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sidR="00000000" w:rsidDel="00000000" w:rsidP="00000000" w:rsidRDefault="00000000" w:rsidRPr="00000000" w14:paraId="00000103">
      <w:pPr>
        <w:pStyle w:val="Heading3"/>
        <w:tabs>
          <w:tab w:val="right" w:leader="none" w:pos="9360"/>
          <w:tab w:val="right" w:leader="none" w:pos="9360"/>
          <w:tab w:val="right" w:leader="none" w:pos="9360"/>
          <w:tab w:val="right" w:leader="none" w:pos="9360"/>
          <w:tab w:val="right" w:leader="none" w:pos="9360"/>
          <w:tab w:val="right" w:leader="none" w:pos="9360"/>
        </w:tabs>
        <w:rPr>
          <w:rFonts w:ascii="Roboto" w:hAnsi="Roboto" w:cs="Roboto" w:eastAsia="Roboto"/>
          <w:smallCaps w:val="1"/>
          <w:color w:val="000000"/>
          <w:sz w:val="32"/>
          <w:szCs w:val="32"/>
        </w:rPr>
        <w:outlineLvl w:val="2"/>
      </w:pPr>
      <w:bookmarkStart w:colFirst="0" w:colLast="0" w:name="_heading=h.5cxcshn96858" w:id="24"/>
      <w:bookmarkEnd w:id="24"/>
      <w:r w:rsidDel="00000000" w:rsidR="00000000" w:rsidRPr="00000000">
        <w:rPr>
          <w:rFonts w:ascii="Roboto" w:hAnsi="Roboto" w:cs="Roboto" w:eastAsia="Roboto"/>
          <w:sz w:val="24"/>
          <w:szCs w:val="24"/>
          <w:rtl w:val="0"/>
        </w:rPr>
        <w:t xml:space="preserve">Unauthenticated Access to Sensitive Auction Bid Information</w:t>
      </w:r>
      <w:r w:rsidDel="00000000" w:rsidR="00000000" w:rsidRPr="00000000">
        <w:rPr>
          <w:rFonts w:ascii="Roboto" w:hAnsi="Roboto" w:cs="Roboto" w:eastAsia="Roboto"/>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00000"/>
        </w:rPr>
        <w:t xml:space="preserve">Critical</w:t>
      </w:r>
    </w:p>
    <w:p w:rsidR="00000000" w:rsidDel="00000000" w:rsidP="00000000" w:rsidRDefault="00000000" w:rsidRPr="00000000" w14:paraId="00000105">
      <w:pPr>
        <w:widowControl w:val="1"/>
        <w:tabs>
          <w:tab w:val="right" w:leader="none" w:pos="9360"/>
        </w:tabs>
        <w:spacing w:after="120" w:before="24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A business logic error was identified in the auction bidder portal, allowing unauthenticated access to sensitive bidding information. The application exposes bid details, including current bid values and maximum bid values, through API endpoints that lack proper authentication and authorization controls. An attacker can manipulate request parameters to retrieve this sensitive data for live auction items without needing to authenticate to the system.</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spacing w:before="240" w:after="120"/>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color w:val="1155CC"/>
          <w:u w:val="single"/>
        </w:rPr>
        <w:t xml:space="preserve">https://www.alpha.auctionninja.com/auctionninjademo/readbidvalue_product_257.php?pid=&lt;product-id&gt;&amp;auctionid=&lt;auction-id&gt;&amp;uid=&lt;user-id&gt;&amp;ItemNo=&lt;lot number&gt;, https://www.alpha.auctionninja.com/auctionninjademo/readbidvalue_account.php?pid=&lt;product id&gt;&amp;auctionid=&lt;auction-id&gt;&amp;uid=&lt;user-id&gt;</w:t>
      </w:r>
    </w:p>
    <w:p w:rsidR="00000000" w:rsidDel="00000000" w:rsidP="00000000" w:rsidRDefault="00000000" w:rsidRPr="00000000" w14:paraId="0000010A">
      <w:pPr>
        <w:widowControl w:val="1"/>
        <w:tabs>
          <w:tab w:val="right" w:leader="none" w:pos="9360"/>
        </w:tabs>
        <w:spacing w:after="120" w:before="24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8">
      <w:pPr>
        <w:numPr>
          <w:ilvl w:val="0"/>
          <w:numId w:val="16"/>
        </w:numPr>
        <w:tabs>
          <w:tab w:val="right" w:leader="none" w:pos="9360"/>
        </w:tabs>
        <w:ind w:left="720" w:hanging="360"/>
        <w:rPr/>
        <w:spacing w:before="0" w:after="80"/>
      </w:pPr>
      <w:r>
        <w:rPr>
          <w:b w:val="1"/>
          <w:bCs w:val="1"/>
          <w:color w:val="000000"/>
        </w:rPr>
        <w:t xml:space="preserve">Impact: </w:t>
      </w:r>
      <w:r>
        <w:rPr>
          <w:b w:val="1"/>
          <w:bCs w:val="1"/>
          <w:color w:val="000000"/>
        </w:rPr>
        <w:t xml:space="preserve">High </w:t>
      </w:r>
      <w:r>
        <w:rPr>
          <w:color w:val="000000"/>
        </w:rPr>
        <w:t xml:space="preserve">– </w:t>
      </w:r>
      <w:r>
        <w:rPr>
          <w:color w:val="000000"/>
        </w:rPr>
        <w:t xml:space="preserve">The disclosure of maximum bid values is highly sensitive in an auction system. An attacker or a malicious seller can leverage this information to manipulate auction prices, artificially inflate bids, or gain an unfair financial advantage. This undermines the integrity and fairness of the auction process, potentially leading to significant financial losses for legitimate bidders and reputational damage for the auction platform.</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b w:val="1"/>
          <w:bCs w:val="1"/>
          <w:color w:val="000000"/>
        </w:rPr>
        <w:t xml:space="preserve">Likelihood: </w:t>
      </w:r>
      <w:r>
        <w:rPr>
          <w:b w:val="1"/>
          <w:bCs w:val="1"/>
          <w:color w:val="000000"/>
        </w:rPr>
        <w:t xml:space="preserve">High </w:t>
      </w:r>
      <w:r>
        <w:rPr>
          <w:color w:val="000000"/>
        </w:rPr>
        <w:t xml:space="preserve">– </w:t>
      </w:r>
      <w:r>
        <w:rPr>
          <w:color w:val="000000"/>
        </w:rPr>
        <w:t xml:space="preserve">The vulnerability is highly likely to be exploited as it involves direct access to API endpoints without any authentication or authorization checks. An attacker can easily craft requests with valid product and auction IDs to retrieve sensitive bidding information, making the exploitation straightforward and requiring minimal technical sophistication.</w:t>
      </w:r>
    </w:p>
    <w:p w:rsidR="00000000" w:rsidDel="00000000" w:rsidP="00000000" w:rsidRDefault="00000000" w:rsidRPr="00000000" w14:paraId="0000010E">
      <w:pPr>
        <w:tabs>
          <w:tab w:val="right" w:leader="none" w:pos="9360"/>
        </w:tabs>
        <w:rPr>
          <w:b w:val="1"/>
          <w:bCs w:val="1"/>
        </w:rPr>
        <w:spacing w:before="240" w:after="120"/>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60" w:before="0" w:line="240" w:lineRule="auto"/>
        <w:ind w:right="288"/>
        <w:jc w:val="left"/>
        <w:rPr>
          <w:b w:val="1"/>
          <w:bCs w:val="1"/>
          <w:color w:val="cc0000"/>
        </w:rPr>
      </w:pPr>
      <w:r>
        <w:rPr>
          <w:b w:val="1"/>
          <w:bCs w:val="1"/>
          <w:color w:val="000000"/>
        </w:rPr>
        <w:t xml:space="preserve">Step 1:</w:t>
      </w:r>
      <w:r>
        <w:rPr>
          <w:color w:val="000000"/>
        </w:rPr>
        <w:t xml:space="preserve"> Identify a live auction product ID, auction ID, and user ID (if applicable) for a target item.</w:t>
      </w:r>
    </w:p>
    <w:p>
      <w:pPr>
        <w:pStyle w:val="Normal"/>
        <w:jc w:val="center"/>
        <w:spacing w:before="60" w:after="60"/>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500000" cy="3600000"/>
            <wp:docPr id="1" name="Picture rId1001"/>
            <a:graphic>
              <a:graphicData uri="http://schemas.openxmlformats.org/drawingml/2006/picture">
                <pic:pic xmlns:pic="http://schemas.openxmlformats.org/drawingml/2006/picture">
                  <pic:nvPicPr>
                    <pic:cNvPr id="1" name="image"/>
                    <pic:cNvPicPr/>
                  </pic:nvPicPr>
                  <pic:blipFill>
                    <a:blip r:embed="rId1001"/>
                    <a:stretch>
                      <a:fillRect/>
                    </a:stretch>
                  </pic:blipFill>
                  <pic:spPr>
                    <a:xfrm>
                      <a:off x="0" y="0"/>
                      <a:ext cx="65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jc w:val="center"/>
        <w:spacing w:before="0" w:after="120"/>
      </w:pPr>
      <w:r>
        <w:rPr>
          <w:i w:val="1"/>
          <w:iCs w:val="1"/>
          <w:color w:val="9ca3af"/>
        </w:rPr>
        <w:t xml:space="preserve">Fig 1: new pic</w:t>
      </w:r>
    </w:p>
    <w:p w:rsidR="00000000" w:rsidDel="00000000" w:rsidP="00000000" w:rsidRDefault="00000000" w:rsidRPr="00000000" w14:paraId="00000104">
      <w:pPr>
        <w:widowControl w:val="1"/>
        <w:tabs>
          <w:tab w:val="right" w:leader="none" w:pos="9360"/>
        </w:tabs>
        <w:spacing w:after="60" w:before="0" w:line="240" w:lineRule="auto"/>
        <w:ind w:right="288"/>
        <w:jc w:val="left"/>
        <w:rPr>
          <w:b w:val="1"/>
          <w:bCs w:val="1"/>
          <w:color w:val="cc0000"/>
        </w:rPr>
      </w:pPr>
      <w:r>
        <w:rPr>
          <w:b w:val="1"/>
          <w:bCs w:val="1"/>
          <w:color w:val="000000"/>
        </w:rPr>
        <w:t xml:space="preserve">Step 2:</w:t>
      </w:r>
      <w:r>
        <w:rPr>
          <w:color w:val="000000"/>
        </w:rPr>
        <w:t xml:space="preserve"> Construct a GET request to the vulnerable endpoint, for example: `https://www.alpha.auctionninja.com/auctionninjademo/readbidvalue_product_257.php?pid=&lt;product-id&gt;&amp;auctionid=&lt;auction-id&gt;&amp;uid=&lt;user-id&gt;&amp;ItemNo=&lt;lot number&gt;`.</w:t>
      </w:r>
    </w:p>
    <w:p w:rsidR="00000000" w:rsidDel="00000000" w:rsidP="00000000" w:rsidRDefault="00000000" w:rsidRPr="00000000" w14:paraId="00000104">
      <w:pPr>
        <w:widowControl w:val="1"/>
        <w:tabs>
          <w:tab w:val="right" w:leader="none" w:pos="9360"/>
        </w:tabs>
        <w:spacing w:after="60" w:before="0" w:line="240" w:lineRule="auto"/>
        <w:ind w:right="288"/>
        <w:jc w:val="left"/>
        <w:rPr>
          <w:b w:val="1"/>
          <w:bCs w:val="1"/>
          <w:color w:val="cc0000"/>
        </w:rPr>
      </w:pPr>
      <w:r>
        <w:rPr>
          <w:b w:val="1"/>
          <w:bCs w:val="1"/>
          <w:color w:val="000000"/>
        </w:rPr>
        <w:t xml:space="preserve">Step 3:</w:t>
      </w:r>
      <w:r>
        <w:rPr>
          <w:color w:val="000000"/>
        </w:rPr>
        <w:t xml:space="preserve"> Send the request without any authentication headers or session cookies.</w:t>
      </w:r>
    </w:p>
    <w:p>
      <w:pPr>
        <w:pStyle w:val="Normal"/>
        <w:jc w:val="center"/>
        <w:spacing w:before="60" w:after="60"/>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500000" cy="3600000"/>
            <wp:docPr id="1" name="Picture rId1002"/>
            <a:graphic>
              <a:graphicData uri="http://schemas.openxmlformats.org/drawingml/2006/picture">
                <pic:pic xmlns:pic="http://schemas.openxmlformats.org/drawingml/2006/picture">
                  <pic:nvPicPr>
                    <pic:cNvPr id="1" name="image"/>
                    <pic:cNvPicPr/>
                  </pic:nvPicPr>
                  <pic:blipFill>
                    <a:blip r:embed="rId1002"/>
                    <a:stretch>
                      <a:fillRect/>
                    </a:stretch>
                  </pic:blipFill>
                  <pic:spPr>
                    <a:xfrm>
                      <a:off x="0" y="0"/>
                      <a:ext cx="65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jc w:val="center"/>
        <w:spacing w:before="0" w:after="120"/>
      </w:pPr>
      <w:r>
        <w:rPr>
          <w:i w:val="1"/>
          <w:iCs w:val="1"/>
          <w:color w:val="9ca3af"/>
        </w:rPr>
        <w:t xml:space="preserve">Fig 3: pic 2</w:t>
      </w:r>
    </w:p>
    <w:p w:rsidR="00000000" w:rsidDel="00000000" w:rsidP="00000000" w:rsidRDefault="00000000" w:rsidRPr="00000000" w14:paraId="00000104">
      <w:pPr>
        <w:widowControl w:val="1"/>
        <w:tabs>
          <w:tab w:val="right" w:leader="none" w:pos="9360"/>
        </w:tabs>
        <w:spacing w:after="60" w:before="0" w:line="240" w:lineRule="auto"/>
        <w:ind w:right="288"/>
        <w:jc w:val="left"/>
        <w:rPr>
          <w:b w:val="1"/>
          <w:bCs w:val="1"/>
          <w:color w:val="cc0000"/>
        </w:rPr>
      </w:pPr>
      <w:r>
        <w:rPr>
          <w:b w:val="1"/>
          <w:bCs w:val="1"/>
          <w:color w:val="000000"/>
        </w:rPr>
        <w:t xml:space="preserve">Step 4:</w:t>
      </w:r>
      <w:r>
        <w:rPr>
          <w:color w:val="000000"/>
        </w:rPr>
        <w:t xml:space="preserve"> Observe the response, which will contain sensitive bidding information, including the current bid value and potentially the maximum bid value placed by a bidder.</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Authentication:</w:t>
      </w:r>
      <w:r>
        <w:rPr>
          <w:color w:val="000000"/>
        </w:rPr>
        <w:t xml:space="preserve"> Implement robust authentication mechanisms for all API endpoints that handle or expose sensitive information. Ensure that only authenticated and authorized users can access bid details.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Authorization:</w:t>
      </w:r>
      <w:r>
        <w:rPr>
          <w:color w:val="000000"/>
        </w:rPr>
        <w:t xml:space="preserve"> Enforce strict authorization checks to ensure that users can only access bid information relevant to their own account or items they are authorized to view. Implement role-based access control (RBAC) where appropriate.</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Secure API Design:</w:t>
      </w:r>
      <w:r>
        <w:rPr>
          <w:color w:val="000000"/>
        </w:rPr>
        <w:t xml:space="preserve"> Review and redesign API endpoints to ensure that sensitive data is not exposed without proper security controls. Avoid relying solely on client-side parameter manipulation for security.</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Input Validation:</w:t>
      </w:r>
      <w:r>
        <w:rPr>
          <w:color w:val="000000"/>
        </w:rPr>
        <w:t xml:space="preserve"> Validate all input parameters to prevent manipulation attempts and ensure that only expected values are processed by the application logic.</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https://cwe.mitre.org/data/definitions/287.html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https://cwe.mitre.org/data/definitions/863.html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https://owasp.org/www-project-api-security/</w:t>
        </w:r>
      </w:hyperlink>
      <w:r w:rsidDel="00000000" w:rsidR="00000000" w:rsidRPr="00000000">
        <w:rPr>
          <w:rtl w:val="0"/>
          <w:u w:val="single"/>
          <w:color w:val="1155CC"/>
        </w:rPr>
      </w:r>
    </w:p>
    <w:p w:rsidR="00000000" w:rsidDel="00000000" w:rsidP="00000000" w:rsidRDefault="00000000" w:rsidRPr="00000000" w14:paraId="000001AF">
      <w:pPr>
        <w:pStyle w:val="Heading3"/>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appendix content below is static template material and will be rendered into reports that use this template.</w:t>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w:cs="Roboto" w:eastAsia="Roboto" w:hAnsi="Roboto"/>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Roboto" w:cs="Roboto" w:eastAsia="Roboto" w:hAnsi="Roboto"/>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Roboto" w:cs="Roboto" w:eastAsia="Roboto" w:hAnsi="Roboto"/>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rFonts w:ascii="Roboto" w:hAnsi="Roboto" w:cs="Roboto" w:eastAsia="Roboto"/>
      <w:sz w:val="20"/>
      <w:szCs w:val="20"/>
    </w:rPr>
  </w:style>
  <w:style w:type="paragraph" w:styleId="Title">
    <w:name w:val="Title"/>
    <w:basedOn w:val="Normal"/>
    <w:next w:val="Normal"/>
    <w:pPr>
      <w:keepNext w:val="1"/>
      <w:keepLines w:val="1"/>
      <w:spacing w:after="120" w:before="480" w:lineRule="auto"/>
    </w:pPr>
    <w:rPr>
      <w:rFonts w:ascii="Roboto" w:hAnsi="Roboto" w:cs="Roboto" w:eastAsia="Roboto"/>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rFonts w:ascii="Roboto" w:hAnsi="Roboto" w:cs="Roboto" w:eastAsia="Roboto"/>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rFonts w:ascii="Roboto" w:hAnsi="Roboto" w:cs="Roboto" w:eastAsia="Roboto"/>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rFonts w:ascii="Roboto" w:hAnsi="Roboto" w:cs="Roboto" w:eastAsia="Roboto"/>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Roboto" w:cs="Roboto" w:eastAsia="Roboto" w:hAnsi="Roboto"/>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 Id="rIdRiskMatrixImage" Type="http://schemas.openxmlformats.org/officeDocument/2006/relationships/image" Target="media/riskmatrix.jpeg"/>
<Relationship Id="rId1001" Type="http://schemas.openxmlformats.org/officeDocument/2006/relationships/image" Target="media/image_74_0.png"/><Relationship Id="rId1002" Type="http://schemas.openxmlformats.org/officeDocument/2006/relationships/image" Target="media/image_74_2.png"/></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