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media/riskmatrix.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Nitin</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new project</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13,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Style w:val="Heading3"/>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SecurifyAI.</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SecurifyAI in connection with this engagement is confidential and may not be duplicated, modified or otherwise reproduced and distributed without the express prior written consent of SecurifyAI or Nitin.</w:t>
      </w:r>
    </w:p>
    <w:p w:rsidR="00000000" w:rsidDel="00000000" w:rsidP="00000000" w:rsidRDefault="00000000" w:rsidRPr="00000000" w14:paraId="00000026">
      <w:pPr>
        <w:tabs>
          <w:tab w:val="right" w:leader="none" w:pos="9360"/>
          <w:tab w:val="right" w:leader="none" w:pos="9360"/>
        </w:tabs>
        <w:rPr/>
      </w:pPr>
      <w:r>
        <w:rPr>
          <w:color w:val="000000"/>
        </w:rPr>
        <w:t xml:space="preserve">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3"/>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3"/>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000000"/>
        </w:rPr>
        <w:t xml:space="preserve">As part of an ongoing security program, Nitin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This report includes the following parameters and results of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SecurifyAI's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3"/>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Nitin's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3"/>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Nitin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3"/>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11, 2026 and May 16, 2026. The re-assessment was conducted between May 11, 2026 and May 16,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dsnklbsdbds</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kjsdnbnlskndbvs</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dvjsnlbndlmvbs</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vskjdnvlnslvse</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nvsjdnlbvksnv</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vjdsnvlnsdvms</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vjdsnvnsdlv</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kjvnsldnvsd</w:t>
            </w:r>
          </w:p>
        </w:tc>
      </w:tr>
    </w:tbl>
    <w:p>
      <w:pPr>
        <w:spacing w:after="240"/>
      </w:pPr>
    </w:p>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Any applications and infrastructure external to the Nitin's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In cases where the Nitin's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Software Development Life Cycle.</w:t>
      </w:r>
    </w:p>
    <w:p w:rsidR="00000000" w:rsidDel="00000000" w:rsidP="00000000" w:rsidRDefault="00000000" w:rsidRPr="00000000" w14:paraId="0000008B">
      <w:pPr>
        <w:pStyle w:val="Heading3"/>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Nitin.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SecurifyAI cannot guarantee 100% coverage for any security assessment.</w:t>
      </w:r>
    </w:p>
    <w:p w:rsidR="00000000" w:rsidDel="00000000" w:rsidP="00000000" w:rsidRDefault="00000000" w:rsidRPr="00000000" w14:paraId="00000092">
      <w:pPr>
        <w:pStyle w:val="Heading3"/>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3"/>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SecurifyAI identified as part of the assessment, their impact, and recommendations for resolving the vulnerabilities. To assist in determining the risk posed by these vulnerabilities, SecurifyAI leverages the OWASP Application Security Risk Rating Methodology. The observations have been categorized based on technical Impact and Likelihood, explained below. These impact and likelihood scores may be further modified by Nitin based on the business criticality of the target.</w:t>
      </w:r>
    </w:p>
    <w:p w:rsidR="00000000" w:rsidDel="00000000" w:rsidP="00000000" w:rsidRDefault="00000000" w:rsidRPr="00000000" w14:paraId="00000095">
      <w:pPr>
        <w:pStyle w:val="Heading3"/>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Impact</w:t>
      </w:r>
      <w:r>
        <w:rPr>
          <w:color w:val="000000"/>
        </w:rPr>
        <w:t xml:space="preserve">: When most/all factors highlight significant damage (e.g., sensitive data loss, wide data corruption, and a large number of victims).</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C">
      <w:pPr>
        <w:pStyle w:val="Heading3"/>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Likelihood</w:t>
      </w:r>
      <w:r>
        <w:rPr>
          <w:color w:val="000000"/>
        </w:rPr>
        <w:t xml:space="preserve">: Most/all factors point to easy and accessible exploitation (e.g., basic skills, low cost, and simple attack mechanisms).</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3">
      <w:pPr>
        <w:pageBreakBefore w:val="1"/>
        <w:pStyle w:val="Heading3"/>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pPr>
        <w:jc w:val="center"/>
      </w:pPr>
      <w:r>
        <w:drawing>
          <wp:inline xmlns:wp="http://schemas.openxmlformats.org/drawingml/2006/wordprocessingDrawing" distT="0" distB="0" distL="0" distR="0">
            <wp:extent cx="4400550" cy="3552825"/>
            <wp:effectExtent l="0" t="0" r="0" b="0"/>
            <wp:docPr id="999" nam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Risk Matrix"/>
                    <pic:cNvPicPr/>
                  </pic:nvPicPr>
                  <pic:blipFill>
                    <a:blip xmlns:r="http://schemas.openxmlformats.org/officeDocument/2006/relationships" r:embed="rIdRiskMatrixImage"/>
                    <a:stretch>
                      <a:fillRect/>
                    </a:stretch>
                  </pic:blipFill>
                  <pic:spPr>
                    <a:xfrm>
                      <a:off x="0" y="0"/>
                      <a:ext cx="4400550" cy="3552825"/>
                    </a:xfrm>
                    <a:prstGeom prst="rect">
                      <a:avLst/>
                    </a:prstGeom>
                  </pic:spPr>
                </pic:pic>
              </a:graphicData>
            </a:graphic>
          </wp:inline>
        </w:drawing>
      </w:r>
    </w:p>
    <w:p w:rsidR="00000000" w:rsidDel="00000000" w:rsidP="00000000" w:rsidRDefault="00000000" w:rsidRPr="00000000" w14:paraId="000000C9">
      <w:pPr>
        <w:pStyle w:val="Heading3"/>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
        <w:br w:type="page"/>
      </w:r>
    </w:p>
    <w:p w:rsidR="00000000" w:rsidDel="00000000" w:rsidP="00000000" w:rsidRDefault="00000000" w:rsidRPr="00000000" w14:paraId="000000CB">
      <w:pPr>
        <w:pStyle w:val="Heading3"/>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3"/>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5000" w:type="pct"/>
        <w:jc w:val="left"/>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W w:type="pct" w:w="42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W w:type="pct" w:w="7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Unauthenticated Access to Sensitive Auction Bid Information</w:t>
            </w:r>
          </w:p>
        </w:tc>
        <w:tc>
          <w:tcPr>
            <w:tcW w:type="pct" w:w="750"/>
            <w:tcBorders>
              <w:top w:color="eafde3" w:space="0" w:sz="8" w:val="single"/>
              <w:left w:color="eafde3" w:space="0" w:sz="8" w:val="single"/>
              <w:bottom w:color="eafde3" w:space="0" w:sz="8" w:val="single"/>
              <w:right w:color="eafde3" w:space="0" w:sz="8" w:val="single"/>
            </w:tcBorders>
            <w:shd w:fill="C0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Critical</w:t>
            </w:r>
          </w:p>
        </w:tc>
      </w:tr>
    </w:tbl>
    <w:p>
      <w:r>
        <w:br w:type="page"/>
      </w:r>
    </w:p>
    <w:p w:rsidR="00000000" w:rsidDel="00000000" w:rsidP="00000000" w:rsidRDefault="00000000" w:rsidRPr="00000000" w14:paraId="00000102">
      <w:pPr>
        <w:pStyle w:val="Heading3"/>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Unauthenticated Access to Sensitive Auction Bid Information</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00000"/>
        </w:rPr>
        <w:t xml:space="preserve">Critical</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A business logic error was identified in the auction bidder portal, allowing unauthenticated access to sensitive bidding information. The application exposes bid details, including current bid values and maximum bid values, through API endpoints that lack proper authentication and authorization controls. An attacker can manipulate request parameters to retrieve this sensitive data for live auction items without needing to authenticate to the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https://www.alpha.auctionninja.com/auctionninjademo/readbidvalue_product_257.php?pid=&lt;product-id&gt;&amp;auctionid=&lt;auction-id&gt;&amp;uid=&lt;user-id&gt;&amp;ItemNo=&lt;lot number&gt;, https://www.alpha.auctionninja.com/auctionninjademo/readbidvalue_account.php?pid=&lt;product id&gt;&amp;auctionid=&lt;auction-id&gt;&amp;uid=&lt;user-id&gt;</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disclosure of maximum bid values is highly sensitive in an auction system. An attacker or a malicious seller can leverage this information to manipulate auction prices, artificially inflate bids, or gain an unfair financial advantage. This undermines the integrity and fairness of the auction process, potentially leading to significant financial losses for legitimate bidders and reputational damage for the auction platform.</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The vulnerability is highly likely to be exploited as it involves direct access to API endpoints without any authentication or authorization checks. An attacker can easily craft requests with valid product and auction IDs to retrieve sensitive bidding information, making the exploitation straightforward and requiring minimal technical sophistication.</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60" w:before="0" w:line="240" w:lineRule="auto"/>
        <w:ind w:right="288"/>
        <w:jc w:val="left"/>
        <w:rPr>
          <w:b w:val="1"/>
          <w:bCs w:val="1"/>
          <w:color w:val="cc0000"/>
        </w:rPr>
      </w:pPr>
      <w:r>
        <w:rPr>
          <w:b w:val="1"/>
          <w:bCs w:val="1"/>
          <w:color w:val="000000"/>
        </w:rPr>
        <w:t xml:space="preserve">Step 1:</w:t>
      </w:r>
      <w:r>
        <w:rPr>
          <w:color w:val="000000"/>
        </w:rPr>
        <w:t xml:space="preserve"> Identify a live auction product ID, auction ID, and user ID (if applicable) for a target item.</w:t>
      </w:r>
    </w:p>
    <w:p>
      <w:pPr>
        <w:pStyle w:val="Normal"/>
        <w:jc w:val="center"/>
        <w:spacing w:before="6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500000" cy="3600000"/>
            <wp:docPr id="1" name="Picture rId1001"/>
            <a:graphic>
              <a:graphicData uri="http://schemas.openxmlformats.org/drawingml/2006/picture">
                <pic:pic xmlns:pic="http://schemas.openxmlformats.org/drawingml/2006/picture">
                  <pic:nvPicPr>
                    <pic:cNvPr id="1" name="image"/>
                    <pic:cNvPicPr/>
                  </pic:nvPicPr>
                  <pic:blipFill>
                    <a:blip r:embed="rId1001"/>
                    <a:stretch>
                      <a:fillRect/>
                    </a:stretch>
                  </pic:blipFill>
                  <pic:spPr>
                    <a:xfrm>
                      <a:off x="0" y="0"/>
                      <a:ext cx="65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spacing w:before="0" w:after="120"/>
      </w:pPr>
      <w:r>
        <w:rPr>
          <w:i w:val="1"/>
          <w:iCs w:val="1"/>
          <w:color w:val="9ca3af"/>
        </w:rPr>
        <w:t xml:space="preserve">Fig 1: new pic</w:t>
      </w:r>
    </w:p>
    <w:p w:rsidR="00000000" w:rsidDel="00000000" w:rsidP="00000000" w:rsidRDefault="00000000" w:rsidRPr="00000000" w14:paraId="00000104">
      <w:pPr>
        <w:widowControl w:val="1"/>
        <w:tabs>
          <w:tab w:val="right" w:leader="none" w:pos="9360"/>
        </w:tabs>
        <w:spacing w:after="60" w:before="0" w:line="240" w:lineRule="auto"/>
        <w:ind w:right="288"/>
        <w:jc w:val="left"/>
        <w:rPr>
          <w:b w:val="1"/>
          <w:bCs w:val="1"/>
          <w:color w:val="cc0000"/>
        </w:rPr>
      </w:pPr>
      <w:r>
        <w:rPr>
          <w:b w:val="1"/>
          <w:bCs w:val="1"/>
          <w:color w:val="000000"/>
        </w:rPr>
        <w:t xml:space="preserve">Step 2:</w:t>
      </w:r>
      <w:r>
        <w:rPr>
          <w:color w:val="000000"/>
        </w:rPr>
        <w:t xml:space="preserve"> Construct a GET request to the vulnerable endpoint, for example: `https://www.alpha.auctionninja.com/auctionninjademo/readbidvalue_product_257.php?pid=&lt;product-id&gt;&amp;auctionid=&lt;auction-id&gt;&amp;uid=&lt;user-id&gt;&amp;ItemNo=&lt;lot number&gt;`.</w:t>
      </w:r>
    </w:p>
    <w:p w:rsidR="00000000" w:rsidDel="00000000" w:rsidP="00000000" w:rsidRDefault="00000000" w:rsidRPr="00000000" w14:paraId="00000104">
      <w:pPr>
        <w:widowControl w:val="1"/>
        <w:tabs>
          <w:tab w:val="right" w:leader="none" w:pos="9360"/>
        </w:tabs>
        <w:spacing w:after="60" w:before="0" w:line="240" w:lineRule="auto"/>
        <w:ind w:right="288"/>
        <w:jc w:val="left"/>
        <w:rPr>
          <w:b w:val="1"/>
          <w:bCs w:val="1"/>
          <w:color w:val="cc0000"/>
        </w:rPr>
      </w:pPr>
      <w:r>
        <w:rPr>
          <w:b w:val="1"/>
          <w:bCs w:val="1"/>
          <w:color w:val="000000"/>
        </w:rPr>
        <w:t xml:space="preserve">Step 3:</w:t>
      </w:r>
      <w:r>
        <w:rPr>
          <w:color w:val="000000"/>
        </w:rPr>
        <w:t xml:space="preserve"> Send the request without any authentication headers or session cookies.</w:t>
      </w:r>
    </w:p>
    <w:p>
      <w:pPr>
        <w:pStyle w:val="Normal"/>
        <w:jc w:val="center"/>
        <w:spacing w:before="60" w:after="60"/>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500000" cy="3600000"/>
            <wp:docPr id="1" name="Picture rId1002"/>
            <a:graphic>
              <a:graphicData uri="http://schemas.openxmlformats.org/drawingml/2006/picture">
                <pic:pic xmlns:pic="http://schemas.openxmlformats.org/drawingml/2006/picture">
                  <pic:nvPicPr>
                    <pic:cNvPr id="1" name="image"/>
                    <pic:cNvPicPr/>
                  </pic:nvPicPr>
                  <pic:blipFill>
                    <a:blip r:embed="rId1002"/>
                    <a:stretch>
                      <a:fillRect/>
                    </a:stretch>
                  </pic:blipFill>
                  <pic:spPr>
                    <a:xfrm>
                      <a:off x="0" y="0"/>
                      <a:ext cx="65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spacing w:before="0" w:after="120"/>
      </w:pPr>
      <w:r>
        <w:rPr>
          <w:i w:val="1"/>
          <w:iCs w:val="1"/>
          <w:color w:val="9ca3af"/>
        </w:rPr>
        <w:t xml:space="preserve">Fig 3: pic 2</w:t>
      </w:r>
    </w:p>
    <w:p w:rsidR="00000000" w:rsidDel="00000000" w:rsidP="00000000" w:rsidRDefault="00000000" w:rsidRPr="00000000" w14:paraId="00000104">
      <w:pPr>
        <w:widowControl w:val="1"/>
        <w:tabs>
          <w:tab w:val="right" w:leader="none" w:pos="9360"/>
        </w:tabs>
        <w:spacing w:after="60" w:before="0" w:line="240" w:lineRule="auto"/>
        <w:ind w:right="288"/>
        <w:jc w:val="left"/>
        <w:rPr>
          <w:b w:val="1"/>
          <w:bCs w:val="1"/>
          <w:color w:val="cc0000"/>
        </w:rPr>
      </w:pPr>
      <w:r>
        <w:rPr>
          <w:b w:val="1"/>
          <w:bCs w:val="1"/>
          <w:color w:val="000000"/>
        </w:rPr>
        <w:t xml:space="preserve">Step 4:</w:t>
      </w:r>
      <w:r>
        <w:rPr>
          <w:color w:val="000000"/>
        </w:rPr>
        <w:t xml:space="preserve"> Observe the response, which will contain sensitive bidding information, including the current bid value and potentially the maximum bid value placed by a bidder.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w:t>
      </w:r>
      <w:r>
        <w:rPr>
          <w:color w:val="000000"/>
        </w:rPr>
        <w:t xml:space="preserve"> Implement robust authentication mechanisms for all API endpoints that handle or expose sensitive information. Ensure that only authenticated and authorized users can access bid details.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Authorization:</w:t>
      </w:r>
      <w:r>
        <w:rPr>
          <w:color w:val="000000"/>
        </w:rPr>
        <w:t xml:space="preserve"> Enforce strict authorization checks to ensure that users can only access bid information relevant to their own account or items they are authorized to view. Implement role-based access control (RBAC) where appropriate.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API Design:</w:t>
      </w:r>
      <w:r>
        <w:rPr>
          <w:color w:val="000000"/>
        </w:rPr>
        <w:t xml:space="preserve"> Review and redesign API endpoints to ensure that sensitive data is not exposed without proper security controls. Avoid relying solely on client-side parameter manipulation for security.</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w:t>
      </w:r>
      <w:r>
        <w:rPr>
          <w:color w:val="000000"/>
        </w:rPr>
        <w:t xml:space="preserve"> Validate all input parameters to prevent manipulation attempts and ensure that only expected values are processed by the application logic.</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https://cwe.mitre.org/data/definitions/287.html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https://cwe.mitre.org/data/definitions/863.html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https://owasp.org/www-project-api-security/</w:t>
        </w:r>
      </w:hyperlink>
      <w:r w:rsidDel="00000000" w:rsidR="00000000" w:rsidRPr="00000000">
        <w:rPr>
          <w:rtl w:val="0"/>
          <w:u w:val="single"/>
          <w:color w:val="1155CC"/>
        </w:rPr>
      </w:r>
    </w:p>
    <w:p w:rsidR="00000000" w:rsidDel="00000000" w:rsidP="00000000" w:rsidRDefault="00000000" w:rsidRPr="00000000" w14:paraId="000001AF">
      <w:pPr>
        <w:pStyle w:val="Heading3"/>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ascii="Roboto" hAnsi="Roboto" cs="Roboto" eastAsia="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Roboto" w:hAnsi="Roboto" w:cs="Roboto" w:eastAsia="Roboto" ascii="Roboto" hAnsi="Roboto" cs="Roboto" eastAsia="Roboto"/>
    </w:rPr>
  </w:style>
  <w:style w:type="paragraph" w:styleId="Heading1">
    <w:name w:val="heading 1"/>
    <w:basedOn w:val="Normal"/>
    <w:next w:val="Normal"/>
    <w:pPr>
      <w:keepNext w:val="1"/>
      <w:keepLines w:val="1"/>
      <w:pageBreakBefore w:val="0"/>
      <w:widowControl w:val="0"/>
      <w:pBdr>
        <w:top w:space="0" w:sz="0" w:val="nil"/>
        <w:left w:space="0" w:sz="0" w:val="nil"/>
        <w:right w:space="0" w:sz="0" w:val="nil"/>
        <w:between w:space="0" w:sz="0" w:val="nil"/>
        <w:bottom w:val="single" w:sz="18" w:space="1" w:color="4EBC22"/>
      </w:pBdr>
      <w:shd w:fill="auto" w:val="clear"/>
      <w:tabs>
        <w:tab w:val="right" w:leader="none" w:pos="9360"/>
      </w:tabs>
      <w:spacing w:after="240" w:before="240" w:line="276" w:lineRule="auto"/>
      <w:ind w:left="0" w:right="0" w:firstLine="0"/>
      <w:jc w:val="both"/>
    </w:pPr>
    <w:rPr>
      <w:rFonts w:ascii="Roboto" w:cs="Roboto" w:eastAsia="Roboto" w:hAnsi="Roboto" ascii="Roboto" hAnsi="Roboto" cs="Roboto" eastAsia="Roboto"/>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right w:space="0" w:sz="0" w:val="nil"/>
        <w:between w:space="0" w:sz="0" w:val="nil"/>
        <w:bottom w:val="single" w:sz="18" w:space="1" w:color="4EBC22"/>
      </w:pBdr>
      <w:shd w:fill="auto" w:val="clear"/>
      <w:tabs>
        <w:tab w:val="right" w:leader="none" w:pos="9360"/>
      </w:tabs>
      <w:spacing w:after="280" w:before="280" w:line="240" w:lineRule="auto"/>
      <w:ind w:left="0" w:right="0" w:firstLine="0"/>
      <w:jc w:val="both"/>
    </w:pPr>
    <w:rPr>
      <w:rFonts w:ascii="Roboto" w:cs="Roboto" w:eastAsia="Roboto" w:hAnsi="Roboto" ascii="Roboto" hAnsi="Roboto" cs="Roboto" eastAsia="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right w:space="0" w:sz="0" w:val="nil"/>
        <w:between w:space="0" w:sz="0" w:val="nil"/>
        <w:bottom w:val="single" w:sz="18" w:space="1" w:color="4EBC22"/>
      </w:pBdr>
      <w:shd w:fill="auto" w:val="clear"/>
      <w:tabs>
        <w:tab w:val="right" w:leader="none" w:pos="9360"/>
      </w:tabs>
      <w:spacing w:after="0" w:before="40" w:line="259" w:lineRule="auto"/>
      <w:ind w:left="720" w:right="0" w:hanging="720"/>
      <w:jc w:val="both"/>
    </w:pPr>
    <w:rPr>
      <w:rFonts w:ascii="Roboto" w:cs="Roboto" w:eastAsia="Roboto" w:hAnsi="Roboto" ascii="Roboto" hAnsi="Roboto" cs="Roboto" eastAsia="Roboto"/>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ascii="Roboto" hAnsi="Roboto" cs="Roboto" eastAsia="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Roboto" w:cs="Roboto" w:eastAsia="Roboto" w:hAnsi="Roboto" ascii="Roboto" hAnsi="Roboto" cs="Roboto" eastAsia="Roboto"/>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rFonts w:ascii="Roboto" w:hAnsi="Roboto" w:cs="Roboto" w:eastAsia="Roboto" ascii="Roboto" hAnsi="Roboto" cs="Roboto" eastAsia="Roboto"/>
      <w:sz w:val="20"/>
      <w:szCs w:val="20"/>
    </w:rPr>
  </w:style>
  <w:style w:type="paragraph" w:styleId="Title">
    <w:name w:val="Title"/>
    <w:basedOn w:val="Normal"/>
    <w:next w:val="Normal"/>
    <w:pPr>
      <w:keepNext w:val="1"/>
      <w:keepLines w:val="1"/>
      <w:spacing w:after="120" w:before="480" w:lineRule="auto"/>
    </w:pPr>
    <w:rPr>
      <w:rFonts w:ascii="Roboto" w:hAnsi="Roboto" w:cs="Roboto" w:eastAsia="Roboto" ascii="Roboto" hAnsi="Roboto" cs="Roboto" eastAsia="Roboto"/>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rFonts w:ascii="Roboto" w:hAnsi="Roboto" w:cs="Roboto" w:eastAsia="Roboto" ascii="Roboto" hAnsi="Roboto" cs="Roboto" eastAsia="Roboto"/>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rFonts w:ascii="Roboto" w:hAnsi="Roboto" w:cs="Roboto" w:eastAsia="Roboto" ascii="Roboto" hAnsi="Roboto" cs="Roboto" eastAsia="Roboto"/>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rFonts w:ascii="Roboto" w:hAnsi="Roboto" w:cs="Roboto" w:eastAsia="Roboto" ascii="Roboto" hAnsi="Roboto" cs="Roboto" eastAsia="Roboto"/>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Roboto" w:cs="Roboto" w:eastAsia="Roboto" w:hAnsi="Roboto" ascii="Roboto" hAnsi="Roboto" cs="Roboto" eastAsia="Roboto"/>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 Id="rIdRiskMatrixImage" Type="http://schemas.openxmlformats.org/officeDocument/2006/relationships/image" Target="media/riskmatrix.jpeg"/>
<Relationship Id="rId1001" Type="http://schemas.openxmlformats.org/officeDocument/2006/relationships/image" Target="media/image_74_0.png"/><Relationship Id="rId1002" Type="http://schemas.openxmlformats.org/officeDocument/2006/relationships/image" Target="media/image_74_2.pn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