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Swiftdigital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Suite Professional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Primary proxy and web security testing suite</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Host and service discovery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Command-line HTTP request validation</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components and tests were out of scope for this review: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Any applications and infrastructure external to the Swiftdigital's Web Application &amp;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 cases where the Swiftdigital's Web Application &amp;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Another application, the interfaces, and communications were considered in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All other external elements were excluded.</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Supporting policies, procedures, and processes.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Social Engineering.</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Software Development Life Cycle.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Critical Impact:</w:t>
      </w:r>
      <w:r>
        <w:rPr>
          <w:color w:val="000000"/>
        </w:rPr>
        <w:t xml:space="preserve"> </w:t>
      </w:r>
      <w:r>
        <w:rPr>
          <w:color w:val="000000"/>
        </w:rPr>
        <w:t xml:space="preserve">Severe compromise of confidentiality, integrity, or availability with material business or operational consequence.</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Significant unauthorized access, data exposure, or business-process abuse affecting sensitive functions or users.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Meaningful security weakness with constrained scope, partial exposure, or limited operational effect.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Exploitation is straightforward and requires limited skill, access, or environmental dependency.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Exploitation is feasible but requires some knowledge, sequencing, or favorable conditions.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Exploitation requires significant effort, elevated preconditions, or specialized capability.</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 Low Likelihood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 These entries may still be valuable for hardening, visibility, or long-term security maturity planning.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