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11,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 in connection with this engagement is confidential and may not be duplicated, modified or otherwise reproduced and distributed without the express prior written consent of Securify or Swiftdigital.</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As part of an ongoing security program, Swiftdigital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Swiftdigital's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Swiftdigital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07, 2026 and May 28, 2026. The re-assessment was conducted between May 07, 2026 and May 28,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Any applications and infrastructure external to the Swiftdigital's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In cases where the Swiftdigital's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Swiftdigital.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Pr>
          <w:color w:val="000000"/>
        </w:rPr>
        <w:t xml:space="preserve">Securify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Swiftdigital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