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Swiftdigital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The following lists the objectives of this assessment:</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i w:val="1"/>
          <w:iCs w:val="1"/>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Swiftdigital's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re-assessment was conducted between May 07, 2026 and May 28,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components and tests were out of scope for this review: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Any applications and infrastructure external to the Swiftdigital's Web Application &amp;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 cases where the Swiftdigital's Web Application &amp;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Another application, the interfaces, and communications were considered in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All other external elements were excluded.</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Supporting policies, procedures, and processes.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Social Engineering.</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Software Development Life Cycle.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t>
      </w:r>
      <w:r>
        <w:rPr>
          <w:color w:val="000000"/>
        </w:rPr>
        <w:t xml:space="preserve">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t>
      </w:r>
      <w:r>
        <w:rPr>
          <w:color w:val="000000"/>
        </w:rPr>
        <w:t xml:space="preserve">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t>
      </w:r>
      <w:r>
        <w:rPr>
          <w:color w:val="000000"/>
        </w:rPr>
        <w:t xml:space="preserve">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w:t>
      </w:r>
      <w:r>
        <w:rPr>
          <w:color w:val="000000"/>
        </w:rPr>
        <w:t xml:space="preserve">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w:t>
      </w:r>
      <w:r>
        <w:rPr>
          <w:color w:val="000000"/>
        </w:rPr>
        <w:t xml:space="preserve">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w:t>
      </w:r>
      <w:r>
        <w:rPr>
          <w:color w:val="000000"/>
        </w:rPr>
        <w:t xml:space="preserve">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b w:val="1"/>
          <w:bCs w:val="1"/>
        </w:rPr>
        <w:t xml:space="preserve">Low Impact + Low Likelihood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b w:val="1"/>
          <w:bCs w:val="1"/>
        </w:rPr>
        <w:t xml:space="preserve">High Impact + High Likelihood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4CC51F"/>
          <w:sz w:val="32"/>
          <w:szCs w:val="32"/>
        </w:rPr>
        <w:t xml:space="preserve">● </w:t>
      </w: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4CC51F"/>
          <w:sz w:val="32"/>
          <w:szCs w:val="32"/>
        </w:rPr>
        <w:t xml:space="preserve">● </w:t>
      </w: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