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 Determinations of appropriate corrective action(s) are the responsibility of the entity receiving the report. This report and any other materials furnished by Securify in connection with this engagement are confidential and may not be duplicated, modified, or otherwise reproduced and distributed without the express prior written consent of Securify or Swiftdigital.</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As part of an ongoing security program, Swiftdigital identified the need to conduct an application security assessment of its Web application &amp; APIs.</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This report presents the agreed scope, methodology, risk measurement model, summarized findings, and detailed technical observations for the selected assessment window.</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includes the following parameters and results of the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client environment using a combination of manual testing, guided analysis, and targeted verification of identified attack paths.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Testing focused on authentication, authorization, business logic, session management, input handling, information disclosure, and transport-layer protections.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Where appropriate, the assessment also included abuse-case validation, access-control bypass attempts, forced browsing, parameter tampering, and endpoint enumeration.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assessment focused on security behavior observable in the live application and API flows, including authentication, authorization, input handling, business logic, sensitive data exposure, and common attack-surface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engagement emphasized practical exploitability and realistic attacker behavior rather than purely theoretical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w:t>
      </w:r>
      <w:r>
        <w:rPr>
          <w:color w:val="000000"/>
        </w:rPr>
        <w:t xml:space="preserve">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w:t>
      </w:r>
      <w:r>
        <w:rPr>
          <w:color w:val="000000"/>
        </w:rPr>
        <w:t xml:space="preserve">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w:t>
      </w:r>
      <w:r>
        <w:rPr>
          <w:color w:val="000000"/>
        </w:rPr>
        <w:t xml:space="preserve">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w:t>
      </w:r>
      <w:r>
        <w:rPr>
          <w:color w:val="000000"/>
        </w:rPr>
        <w:t xml:space="preserve">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w:t>
      </w:r>
      <w:r>
        <w:rPr>
          <w:color w:val="000000"/>
        </w:rPr>
        <w:t xml:space="preserve">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w:t>
      </w:r>
      <w:r>
        <w:rPr>
          <w:color w:val="000000"/>
        </w:rPr>
        <w:t xml:space="preserve">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28, 2026. 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Application Details</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p>
      <w:pPr>
        <w:spacing w:after="240"/>
      </w:pP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User Roles (Web application &amp; API)</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p>
      <w:pPr>
        <w:spacing w:after="240"/>
      </w:pP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Tools</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b w:val="1"/>
          <w:bCs w:val="1"/>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Any applications and infrastructure external to the Swiftdigital's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In cases where the Swiftdigital's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This assessment was performed within the agreed timebox and only against systems explicitly included in scope. Absence of identified vulnerabilities should not be interpreted as a guarantee that no issues remain.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Risk is determined by evaluating the combined effect of impact and likelihood for each issue identified during testing.</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matrix below is used as the standard model for determining overall severity.</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reflects the potential business, technical, operational, and data-related consequences if a vulnerability is successfully exploited.</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Critical Impact:</w:t>
      </w:r>
      <w:r>
        <w:rPr>
          <w:color w:val="000000"/>
        </w:rPr>
        <w:t xml:space="preserve"> </w:t>
      </w:r>
      <w:r>
        <w:rPr>
          <w:color w:val="000000"/>
        </w:rPr>
        <w:t xml:space="preserve">Severe compromise of confidentiality, integrity, or availability with material business or operational consequence.</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w:t>
      </w:r>
      <w:r>
        <w:rPr>
          <w:color w:val="000000"/>
        </w:rPr>
        <w:t xml:space="preserve"> </w:t>
      </w:r>
      <w:r>
        <w:rPr>
          <w:color w:val="000000"/>
        </w:rPr>
        <w:t xml:space="preserve">Significant unauthorized access, data exposure, or business-process abuse affecting sensitive functions or users.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Impact:</w:t>
      </w:r>
      <w:r>
        <w:rPr>
          <w:color w:val="000000"/>
        </w:rPr>
        <w:t xml:space="preserve"> </w:t>
      </w:r>
      <w:r>
        <w:rPr>
          <w:color w:val="000000"/>
        </w:rPr>
        <w:t xml:space="preserve">Meaningful security weakness with constrained scope, partial exposure, or limited operational effect.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w:t>
      </w:r>
      <w:r>
        <w:rPr>
          <w:color w:val="000000"/>
        </w:rPr>
        <w:t xml:space="preserve"> </w:t>
      </w:r>
      <w:r>
        <w:rPr>
          <w:color w:val="000000"/>
        </w:rPr>
        <w:t xml:space="preserve">Minor weakness with limited practical consequence or low-value exposure.</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reflects how feasible exploitation is in practice, considering attacker capability, required access, and environmental constraints.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Likelihood:</w:t>
      </w:r>
      <w:r>
        <w:rPr>
          <w:color w:val="000000"/>
        </w:rPr>
        <w:t xml:space="preserve"> </w:t>
      </w:r>
      <w:r>
        <w:rPr>
          <w:color w:val="000000"/>
        </w:rPr>
        <w:t xml:space="preserve">Exploitation is straightforward and requires limited skill, access, or environmental dependency.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Likelihood:</w:t>
      </w:r>
      <w:r>
        <w:rPr>
          <w:color w:val="000000"/>
        </w:rPr>
        <w:t xml:space="preserve"> </w:t>
      </w:r>
      <w:r>
        <w:rPr>
          <w:color w:val="000000"/>
        </w:rPr>
        <w:t xml:space="preserve">Exploitation is feasible but requires some knowledge, sequencing, or favorable conditions.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Likelihood:</w:t>
      </w:r>
      <w:r>
        <w:rPr>
          <w:color w:val="000000"/>
        </w:rPr>
        <w:t xml:space="preserve"> </w:t>
      </w:r>
      <w:r>
        <w:rPr>
          <w:color w:val="000000"/>
        </w:rPr>
        <w:t xml:space="preserve">Exploitation requires significant effort, elevated preconditions, or specialized capability.</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Items categorized as zero-risk or informational are included where useful for context but should not be treated as exploitable vulnerabilities. These entries may still be valuable for hardening, visibility, or long-term security maturity planning.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