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7">
      <w:pPr>
        <w:tabs>
          <w:tab w:val="right" w:leader="none" w:pos="9360"/>
          <w:tab w:val="right" w:leader="none" w:pos="9360"/>
          <w:tab w:val="right" w:leader="none" w:pos="9360"/>
          <w:tab w:val="right" w:leader="none" w:pos="9360"/>
          <w:tab w:val="right" w:leader="none" w:pos="9360"/>
          <w:tab w:val="right" w:leader="none" w:pos="9360"/>
        </w:tabs>
        <w:ind w:firstLine="0"/>
        <w:rPr>
          <w:color w:val="000000"/>
        </w:rPr>
      </w:pPr>
      <w:r w:rsidDel="00000000" w:rsidR="00000000" w:rsidRPr="00000000">
        <w:rPr>
          <w:rtl w:val="0"/>
        </w:rPr>
      </w:r>
    </w:p>
    <w:p w:rsidR="00000000" w:rsidDel="00000000" w:rsidP="00000000" w:rsidRDefault="00000000" w:rsidRPr="00000000" w14:paraId="0000000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E">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rFonts w:ascii="Roboto Black" w:cs="Roboto Black" w:eastAsia="Roboto Black" w:hAnsi="Roboto Black"/>
          <w:color w:val="4ebc22"/>
          <w:sz w:val="64"/>
          <w:szCs w:val="64"/>
        </w:rPr>
        <w:spacing w:before="520"/>
      </w:pPr>
      <w:r w:rsidDel="00000000" w:rsidR="00000000" w:rsidRPr="00000000">
        <w:rPr>
          <w:rFonts w:ascii="Roboto Black" w:cs="Roboto Black" w:eastAsia="Roboto Black" w:hAnsi="Roboto Black"/>
          <w:color w:val="4ebc22"/>
          <w:sz w:val="64"/>
          <w:szCs w:val="64"/>
          <w:rtl w:val="0"/>
        </w:rPr>
        <w:t xml:space="preserve">krishna</w:t>
      </w:r>
      <w:r w:rsidDel="00000000" w:rsidR="00000000" w:rsidRPr="00000000">
        <w:rPr>
          <w:rtl w:val="0"/>
        </w:rPr>
      </w:r>
    </w:p>
    <w:p w:rsidR="00000000" w:rsidDel="00000000" w:rsidP="00000000" w:rsidRDefault="00000000" w:rsidRPr="00000000" w14:paraId="0000001F">
      <w:pPr>
        <w:tabs>
          <w:tab w:val="right" w:leader="none" w:pos="9360"/>
          <w:tab w:val="right" w:leader="none" w:pos="9360"/>
          <w:tab w:val="right" w:leader="none" w:pos="9360"/>
          <w:tab w:val="right" w:leader="none" w:pos="9360"/>
          <w:tab w:val="right" w:leader="none" w:pos="9360"/>
          <w:tab w:val="right" w:leader="none" w:pos="9360"/>
        </w:tabs>
        <w:ind w:firstLine="0"/>
        <w:jc w:val="center"/>
        <w:rPr>
          <w:rFonts w:ascii="Roboto Black" w:cs="Roboto Black" w:eastAsia="Roboto Black" w:hAnsi="Roboto Black"/>
          <w:sz w:val="34"/>
          <w:szCs w:val="34"/>
        </w:rPr>
      </w:pPr>
      <w:r w:rsidDel="00000000" w:rsidR="00000000" w:rsidRPr="00000000">
        <w:rPr>
          <w:rFonts w:ascii="Roboto Black" w:cs="Roboto Black" w:eastAsia="Roboto Black" w:hAnsi="Roboto Black"/>
          <w:sz w:val="34"/>
          <w:szCs w:val="34"/>
          <w:rtl w:val="0"/>
        </w:rPr>
        <w:t xml:space="preserve">securify project</w:t>
      </w:r>
    </w:p>
    <w:p w:rsidR="00000000" w:rsidDel="00000000" w:rsidP="00000000" w:rsidRDefault="00000000" w:rsidRPr="00000000" w14:paraId="00000020">
      <w:pPr>
        <w:tabs>
          <w:tab w:val="right" w:leader="none" w:pos="9360"/>
          <w:tab w:val="right" w:leader="none" w:pos="9360"/>
          <w:tab w:val="right" w:leader="none" w:pos="9360"/>
          <w:tab w:val="right" w:leader="none" w:pos="9360"/>
          <w:tab w:val="right" w:leader="none" w:pos="9360"/>
          <w:tab w:val="right" w:leader="none" w:pos="9360"/>
        </w:tabs>
        <w:ind w:firstLine="0"/>
        <w:jc w:val="cente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1957388</wp:posOffset>
                </wp:positionH>
                <wp:positionV relativeFrom="page">
                  <wp:posOffset>8707510</wp:posOffset>
                </wp:positionV>
                <wp:extent cx="1842630" cy="647700"/>
                <wp:effectExtent b="0" l="0" r="0" t="0"/>
                <wp:wrapNone/>
                <wp:docPr id="1823659468" name=""/>
                <a:graphic>
                  <a:graphicData uri="http://schemas.microsoft.com/office/word/2010/wordprocessingShape">
                    <wps:wsp>
                      <wps:cNvSpPr/>
                      <wps:cNvPr id="16" name="Shape 16"/>
                      <wps:spPr>
                        <a:xfrm flipH="1">
                          <a:off x="4453260" y="3484725"/>
                          <a:ext cx="1785480" cy="590550"/>
                        </a:xfrm>
                        <a:custGeom>
                          <a:rect b="b" l="l" r="r" t="t"/>
                          <a:pathLst>
                            <a:path extrusionOk="0" h="271582" w="820223">
                              <a:moveTo>
                                <a:pt x="687093" y="0"/>
                              </a:moveTo>
                              <a:cubicBezTo>
                                <a:pt x="724055" y="0"/>
                                <a:pt x="755483" y="12681"/>
                                <a:pt x="781379" y="38044"/>
                              </a:cubicBezTo>
                              <a:cubicBezTo>
                                <a:pt x="807273" y="63408"/>
                                <a:pt x="820222" y="94150"/>
                                <a:pt x="820223" y="130271"/>
                              </a:cubicBezTo>
                              <a:cubicBezTo>
                                <a:pt x="820223" y="167218"/>
                                <a:pt x="807241" y="198406"/>
                                <a:pt x="781277" y="223836"/>
                              </a:cubicBezTo>
                              <a:cubicBezTo>
                                <a:pt x="755314" y="249267"/>
                                <a:pt x="723920" y="261983"/>
                                <a:pt x="687094" y="261983"/>
                              </a:cubicBezTo>
                              <a:cubicBezTo>
                                <a:pt x="650852" y="261983"/>
                                <a:pt x="620076" y="249327"/>
                                <a:pt x="594765" y="224016"/>
                              </a:cubicBezTo>
                              <a:cubicBezTo>
                                <a:pt x="582110" y="211361"/>
                                <a:pt x="572619" y="197221"/>
                                <a:pt x="566291" y="181597"/>
                              </a:cubicBezTo>
                              <a:lnTo>
                                <a:pt x="565371" y="176617"/>
                              </a:lnTo>
                              <a:lnTo>
                                <a:pt x="266041" y="176616"/>
                              </a:lnTo>
                              <a:lnTo>
                                <a:pt x="264022" y="252723"/>
                              </a:lnTo>
                              <a:cubicBezTo>
                                <a:pt x="264022" y="263499"/>
                                <a:pt x="255939" y="271582"/>
                                <a:pt x="245163" y="271582"/>
                              </a:cubicBezTo>
                              <a:lnTo>
                                <a:pt x="188587" y="271581"/>
                              </a:lnTo>
                              <a:cubicBezTo>
                                <a:pt x="177810" y="271581"/>
                                <a:pt x="169728" y="263499"/>
                                <a:pt x="169728" y="252722"/>
                              </a:cubicBezTo>
                              <a:lnTo>
                                <a:pt x="169727" y="175941"/>
                              </a:lnTo>
                              <a:lnTo>
                                <a:pt x="132010" y="175941"/>
                              </a:lnTo>
                              <a:lnTo>
                                <a:pt x="132011" y="223087"/>
                              </a:lnTo>
                              <a:cubicBezTo>
                                <a:pt x="132011" y="233864"/>
                                <a:pt x="123929" y="241946"/>
                                <a:pt x="113153" y="241946"/>
                              </a:cubicBezTo>
                              <a:lnTo>
                                <a:pt x="75435" y="241946"/>
                              </a:lnTo>
                              <a:cubicBezTo>
                                <a:pt x="64659" y="241946"/>
                                <a:pt x="56576" y="233863"/>
                                <a:pt x="56576" y="223087"/>
                              </a:cubicBezTo>
                              <a:lnTo>
                                <a:pt x="56577" y="175940"/>
                              </a:lnTo>
                              <a:lnTo>
                                <a:pt x="18859" y="175940"/>
                              </a:lnTo>
                              <a:cubicBezTo>
                                <a:pt x="8083" y="175940"/>
                                <a:pt x="1" y="167857"/>
                                <a:pt x="1" y="157081"/>
                              </a:cubicBezTo>
                              <a:lnTo>
                                <a:pt x="0" y="100506"/>
                              </a:lnTo>
                              <a:cubicBezTo>
                                <a:pt x="0" y="89730"/>
                                <a:pt x="8082" y="81648"/>
                                <a:pt x="18858" y="81648"/>
                              </a:cubicBezTo>
                              <a:lnTo>
                                <a:pt x="566184" y="80337"/>
                              </a:lnTo>
                              <a:lnTo>
                                <a:pt x="566266" y="79899"/>
                              </a:lnTo>
                              <a:cubicBezTo>
                                <a:pt x="572577" y="64498"/>
                                <a:pt x="582043" y="50486"/>
                                <a:pt x="594665" y="37864"/>
                              </a:cubicBezTo>
                              <a:cubicBezTo>
                                <a:pt x="619908" y="12621"/>
                                <a:pt x="650718" y="1"/>
                                <a:pt x="687093" y="0"/>
                              </a:cubicBezTo>
                              <a:close/>
                            </a:path>
                          </a:pathLst>
                        </a:custGeom>
                        <a:solidFill>
                          <a:schemeClr val="accen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1957388</wp:posOffset>
                </wp:positionH>
                <wp:positionV relativeFrom="page">
                  <wp:posOffset>8707510</wp:posOffset>
                </wp:positionV>
                <wp:extent cx="1842630" cy="647700"/>
                <wp:effectExtent b="0" l="0" r="0" t="0"/>
                <wp:wrapNone/>
                <wp:docPr id="1823659468"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1842630" cy="647700"/>
                        </a:xfrm>
                        <a:prstGeom prst="rect"/>
                        <a:ln/>
                      </pic:spPr>
                    </pic:pic>
                  </a:graphicData>
                </a:graphic>
              </wp:anchor>
            </w:drawing>
          </mc:Fallback>
        </mc:AlternateContent>
      </w:r>
      <w:r w:rsidDel="00000000" w:rsidR="00000000" w:rsidRPr="00000000">
        <w:rPr>
          <w:rtl w:val="0"/>
        </w:rPr>
        <w:t xml:space="preserve">May 08, 2026</w:t>
      </w:r>
      <w:r w:rsidDel="00000000" w:rsidR="00000000" w:rsidRPr="00000000">
        <w:rPr>
          <w:rtl w:val="0"/>
        </w:rPr>
      </w:r>
    </w:p>
    <w:p w:rsidR="00000000" w:rsidDel="00000000" w:rsidP="00000000" w:rsidRDefault="00000000" w:rsidRPr="00000000" w14:paraId="00000021">
      <w:pPr>
        <w:tabs>
          <w:tab w:val="right" w:leader="none" w:pos="9360"/>
          <w:tab w:val="right" w:leader="none" w:pos="9360"/>
          <w:tab w:val="right" w:leader="none" w:pos="9360"/>
          <w:tab w:val="right" w:leader="none" w:pos="9360"/>
          <w:tab w:val="right" w:leader="none" w:pos="9360"/>
          <w:tab w:val="right" w:leader="none" w:pos="9360"/>
        </w:tabs>
        <w:ind w:firstLine="0"/>
        <w:jc w:val="center"/>
        <w:rPr/>
      </w:pPr>
      <w:r w:rsidDel="00000000" w:rsidR="00000000" w:rsidRPr="00000000">
        <w:rPr>
          <w:rtl w:val="0"/>
        </w:rPr>
      </w:r>
    </w:p>
    <w:p w:rsidR="00000000" w:rsidDel="00000000" w:rsidP="00000000" w:rsidRDefault="00000000" w:rsidRPr="00000000" w14:paraId="0000002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2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24">
      <w:pPr>
        <w:tabs>
          <w:tab w:val="right" w:leader="none" w:pos="9360"/>
          <w:tab w:val="right" w:leader="none" w:pos="9360"/>
        </w:tabs>
        <w:jc w:val="left"/>
        <w:rPr/>
      </w:pPr>
      <w:r w:rsidDel="00000000" w:rsidR="00000000" w:rsidRPr="00000000">
        <w:rPr>
          <w:rtl w:val="0"/>
        </w:rPr>
      </w:r>
    </w:p>
    <w:p w:rsidR="00000000" w:rsidDel="00000000" w:rsidP="00000000" w:rsidRDefault="00000000" w:rsidRPr="00000000" w14:paraId="00000025">
      <w:pPr>
        <w:pageBreakBefore w:val="1"/>
        <w:pBdr>
          <w:bottom w:color="4ebc22" w:space="1" w:sz="18" w:val="single"/>
        </w:pBd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after="240" w:before="240" w:lineRule="auto"/>
        <w:rPr>
          <w:sz w:val="40"/>
          <w:szCs w:val="40"/>
        </w:rPr>
      </w:pPr>
      <w:r w:rsidDel="00000000" w:rsidR="00000000" w:rsidRPr="00000000">
        <w:rPr>
          <w:b w:val="1"/>
          <w:bCs w:val="1"/>
          <w:color w:val="4ebc22"/>
          <w:sz w:val="40"/>
          <w:szCs w:val="40"/>
          <w:rtl w:val="0"/>
        </w:rPr>
        <w:t xml:space="preserve">Confidentiality and Distribution Restrictions</w:t>
      </w:r>
      <w:r w:rsidDel="00000000" w:rsidR="00000000" w:rsidRPr="00000000">
        <w:rPr>
          <w:rtl w:val="0"/>
        </w:rPr>
      </w:r>
    </w:p>
    <w:p w:rsidR="00000000" w:rsidDel="00000000" w:rsidP="00000000" w:rsidRDefault="00000000" w:rsidRPr="00000000" w14:paraId="00000026">
      <w:pPr>
        <w:tabs>
          <w:tab w:val="right" w:leader="none" w:pos="9360"/>
          <w:tab w:val="right" w:leader="none" w:pos="9360"/>
        </w:tabs>
        <w:rPr/>
      </w:pPr>
      <w:r w:rsidDel="00000000" w:rsidR="00000000" w:rsidRPr="00000000">
        <w:rPr>
          <w:rtl w:val="0"/>
        </w:rPr>
        <w:t xml:space="preserve">The conclusions and recommendations in this report represent the opinions of Securify.</w:t>
      </w:r>
    </w:p>
    <w:p w:rsidR="00000000" w:rsidDel="00000000" w:rsidP="00000000" w:rsidRDefault="00000000" w:rsidRPr="00000000" w14:paraId="00000026">
      <w:pPr>
        <w:tabs>
          <w:tab w:val="right" w:leader="none" w:pos="9360"/>
          <w:tab w:val="right" w:leader="none" w:pos="9360"/>
        </w:tabs>
        <w:rPr/>
      </w:pPr>
      <w:r w:rsidDel="00000000" w:rsidR="00000000" w:rsidRPr="00000000">
        <w:rPr>
          <w:rtl w:val="0"/>
        </w:rPr>
        <w:t xml:space="preserve">Determinations of appropriate corrective action(s) are the responsibility of the entity receiving the report.</w:t>
      </w:r>
    </w:p>
    <w:p w:rsidR="00000000" w:rsidDel="00000000" w:rsidP="00000000" w:rsidRDefault="00000000" w:rsidRPr="00000000" w14:paraId="00000026">
      <w:pPr>
        <w:tabs>
          <w:tab w:val="right" w:leader="none" w:pos="9360"/>
          <w:tab w:val="right" w:leader="none" w:pos="9360"/>
        </w:tabs>
        <w:rPr/>
      </w:pPr>
      <w:r w:rsidDel="00000000" w:rsidR="00000000" w:rsidRPr="00000000">
        <w:rPr>
          <w:rtl w:val="0"/>
        </w:rPr>
        <w:t xml:space="preserve">This report and/or any other materials furnished by Securify in connection with this engagement is confidential and may not be duplicated, modified, or otherwise reproduced and distributed without the express prior written consent of Securify or krishna. Because this work may contain copyrighted images or other material, permission from the copyright holder may also be necessary if you wish to reproduce.</w:t>
      </w:r>
    </w:p>
    <w:p w:rsidR="00000000" w:rsidDel="00000000" w:rsidP="00000000" w:rsidRDefault="00000000" w:rsidRPr="00000000" w14:paraId="00000028">
      <w:pPr>
        <w:pStyle w:val="Heading1"/>
        <w:pageBreakBefore w:val="1"/>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Table of Contents</w:t>
      </w:r>
    </w:p>
    <w:sdt>
      <w:sdtPr>
        <w:id w:val="264380482"/>
        <w:docPartObj>
          <w:docPartGallery w:val="Table of Contents"/>
          <w:docPartUnique w:val="1"/>
        </w:docPartObj>
      </w:sdtPr>
      <w:sdtContent>
        <w:p w:rsidR="00000000" w:rsidDel="00000000" w:rsidP="00000000" w:rsidRDefault="00000000" w:rsidRPr="00000000" w14:paraId="00000029">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4,4,Heading 6,6,"</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of Contents</w:t>
              <w:tab/>
              <w:t xml:space="preserve">3</w:t>
            </w:r>
          </w:hyperlink>
          <w:r w:rsidDel="00000000" w:rsidR="00000000" w:rsidRPr="00000000">
            <w:rPr>
              <w:rtl w:val="0"/>
            </w:rPr>
          </w:r>
        </w:p>
        <w:p w:rsidR="00000000" w:rsidDel="00000000" w:rsidP="00000000" w:rsidRDefault="00000000" w:rsidRPr="00000000" w14:paraId="0000002A">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2jxsxqh">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Introduction</w:t>
              <w:tab/>
              <w:t xml:space="preserve">4</w:t>
            </w:r>
          </w:hyperlink>
          <w:r w:rsidDel="00000000" w:rsidR="00000000" w:rsidRPr="00000000">
            <w:rPr>
              <w:rtl w:val="0"/>
            </w:rPr>
          </w:r>
        </w:p>
        <w:p w:rsidR="00000000" w:rsidDel="00000000" w:rsidP="00000000" w:rsidRDefault="00000000" w:rsidRPr="00000000" w14:paraId="0000002B">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z337ya">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Approach</w:t>
              <w:tab/>
              <w:t xml:space="preserve">5</w:t>
            </w:r>
          </w:hyperlink>
          <w:r w:rsidDel="00000000" w:rsidR="00000000" w:rsidRPr="00000000">
            <w:rPr>
              <w:rtl w:val="0"/>
            </w:rPr>
          </w:r>
        </w:p>
        <w:p w:rsidR="00000000" w:rsidDel="00000000" w:rsidP="00000000" w:rsidRDefault="00000000" w:rsidRPr="00000000" w14:paraId="0000002C">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j2qqm3">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Runtime Application Vulnerability Assessment</w:t>
              <w:tab/>
              <w:t xml:space="preserve">5</w:t>
            </w:r>
          </w:hyperlink>
          <w:r w:rsidDel="00000000" w:rsidR="00000000" w:rsidRPr="00000000">
            <w:rPr>
              <w:rtl w:val="0"/>
            </w:rPr>
          </w:r>
        </w:p>
        <w:p w:rsidR="00000000" w:rsidDel="00000000" w:rsidP="00000000" w:rsidRDefault="00000000" w:rsidRPr="00000000" w14:paraId="0000002D">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1y810tw">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Scope</w:t>
              <w:tab/>
              <w:t xml:space="preserve">6</w:t>
            </w:r>
          </w:hyperlink>
          <w:r w:rsidDel="00000000" w:rsidR="00000000" w:rsidRPr="00000000">
            <w:rPr>
              <w:rtl w:val="0"/>
            </w:rPr>
          </w:r>
        </w:p>
        <w:p w:rsidR="00000000" w:rsidDel="00000000" w:rsidP="00000000" w:rsidRDefault="00000000" w:rsidRPr="00000000" w14:paraId="0000002E">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i7ojhp">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Application Details</w:t>
              <w:tab/>
              <w:t xml:space="preserve">6</w:t>
            </w:r>
          </w:hyperlink>
          <w:r w:rsidDel="00000000" w:rsidR="00000000" w:rsidRPr="00000000">
            <w:rPr>
              <w:rtl w:val="0"/>
            </w:rPr>
          </w:r>
        </w:p>
        <w:p w:rsidR="00000000" w:rsidDel="00000000" w:rsidP="00000000" w:rsidRDefault="00000000" w:rsidRPr="00000000" w14:paraId="0000002F">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xcytpi">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User Roles (Web application &amp; API)</w:t>
              <w:tab/>
              <w:t xml:space="preserve">6</w:t>
            </w:r>
          </w:hyperlink>
          <w:r w:rsidDel="00000000" w:rsidR="00000000" w:rsidRPr="00000000">
            <w:rPr>
              <w:rtl w:val="0"/>
            </w:rPr>
          </w:r>
        </w:p>
        <w:p w:rsidR="00000000" w:rsidDel="00000000" w:rsidP="00000000" w:rsidRDefault="00000000" w:rsidRPr="00000000" w14:paraId="00000030">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ci93xb">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Tools</w:t>
              <w:tab/>
              <w:t xml:space="preserve">6</w:t>
            </w:r>
          </w:hyperlink>
          <w:r w:rsidDel="00000000" w:rsidR="00000000" w:rsidRPr="00000000">
            <w:rPr>
              <w:rtl w:val="0"/>
            </w:rPr>
          </w:r>
        </w:p>
        <w:p w:rsidR="00000000" w:rsidDel="00000000" w:rsidP="00000000" w:rsidRDefault="00000000" w:rsidRPr="00000000" w14:paraId="00000031">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whwml4">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Assessment Limitation</w:t>
              <w:tab/>
              <w:t xml:space="preserve">7</w:t>
            </w:r>
          </w:hyperlink>
          <w:r w:rsidDel="00000000" w:rsidR="00000000" w:rsidRPr="00000000">
            <w:rPr>
              <w:rtl w:val="0"/>
            </w:rPr>
          </w:r>
        </w:p>
        <w:p w:rsidR="00000000" w:rsidDel="00000000" w:rsidP="00000000" w:rsidRDefault="00000000" w:rsidRPr="00000000" w14:paraId="00000032">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2zqlghxj9gg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Findings and Recommendation</w:t>
              <w:tab/>
              <w:t xml:space="preserve">8</w:t>
            </w:r>
          </w:hyperlink>
          <w:r w:rsidDel="00000000" w:rsidR="00000000" w:rsidRPr="00000000">
            <w:rPr>
              <w:rtl w:val="0"/>
            </w:rPr>
          </w:r>
        </w:p>
        <w:p w:rsidR="00000000" w:rsidDel="00000000" w:rsidP="00000000" w:rsidRDefault="00000000" w:rsidRPr="00000000" w14:paraId="00000033">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sh70q">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Risk Classification</w:t>
              <w:tab/>
              <w:t xml:space="preserve">8</w:t>
            </w:r>
          </w:hyperlink>
          <w:r w:rsidDel="00000000" w:rsidR="00000000" w:rsidRPr="00000000">
            <w:rPr>
              <w:rtl w:val="0"/>
            </w:rPr>
          </w:r>
        </w:p>
        <w:p w:rsidR="00000000" w:rsidDel="00000000" w:rsidP="00000000" w:rsidRDefault="00000000" w:rsidRPr="00000000" w14:paraId="00000034">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job4txaqet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Measurement of Impact</w:t>
              <w:tab/>
              <w:t xml:space="preserve">8</w:t>
            </w:r>
          </w:hyperlink>
          <w:r w:rsidDel="00000000" w:rsidR="00000000" w:rsidRPr="00000000">
            <w:rPr>
              <w:rtl w:val="0"/>
            </w:rPr>
          </w:r>
        </w:p>
        <w:p w:rsidR="00000000" w:rsidDel="00000000" w:rsidP="00000000" w:rsidRDefault="00000000" w:rsidRPr="00000000" w14:paraId="00000035">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yf4qu3z5t7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Measurement of Likelihood</w:t>
              <w:tab/>
              <w:t xml:space="preserve">9</w:t>
            </w:r>
          </w:hyperlink>
          <w:r w:rsidDel="00000000" w:rsidR="00000000" w:rsidRPr="00000000">
            <w:rPr>
              <w:rtl w:val="0"/>
            </w:rPr>
          </w:r>
        </w:p>
        <w:p w:rsidR="00000000" w:rsidDel="00000000" w:rsidP="00000000" w:rsidRDefault="00000000" w:rsidRPr="00000000" w14:paraId="00000036">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klw5pr1a8z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Overall Risk</w:t>
              <w:tab/>
              <w:t xml:space="preserve">10</w:t>
            </w:r>
          </w:hyperlink>
          <w:r w:rsidDel="00000000" w:rsidR="00000000" w:rsidRPr="00000000">
            <w:rPr>
              <w:rtl w:val="0"/>
            </w:rPr>
          </w:r>
        </w:p>
        <w:p w:rsidR="00000000" w:rsidDel="00000000" w:rsidP="00000000" w:rsidRDefault="00000000" w:rsidRPr="00000000" w14:paraId="00000037">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p2csry">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Zero-risk Issues</w:t>
              <w:tab/>
              <w:t xml:space="preserve">10</w:t>
            </w:r>
          </w:hyperlink>
          <w:r w:rsidDel="00000000" w:rsidR="00000000" w:rsidRPr="00000000">
            <w:rPr>
              <w:rtl w:val="0"/>
            </w:rPr>
          </w:r>
        </w:p>
        <w:p w:rsidR="00000000" w:rsidDel="00000000" w:rsidP="00000000" w:rsidRDefault="00000000" w:rsidRPr="00000000" w14:paraId="00000038">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147n2z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Vulnerabilities</w:t>
              <w:tab/>
              <w:t xml:space="preserve">11</w:t>
            </w:r>
          </w:hyperlink>
          <w:r w:rsidDel="00000000" w:rsidR="00000000" w:rsidRPr="00000000">
            <w:rPr>
              <w:rtl w:val="0"/>
            </w:rPr>
          </w:r>
        </w:p>
        <w:p w:rsidR="00000000" w:rsidDel="00000000" w:rsidP="00000000" w:rsidRDefault="00000000" w:rsidRPr="00000000" w14:paraId="00000039">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o7alnk">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Summary</w:t>
              <w:tab/>
              <w:t xml:space="preserve">11</w:t>
            </w:r>
          </w:hyperlink>
          <w:r w:rsidDel="00000000" w:rsidR="00000000" w:rsidRPr="00000000">
            <w:rPr>
              <w:rtl w:val="0"/>
            </w:rPr>
          </w:r>
        </w:p>
        <w:p w:rsidR="00000000" w:rsidDel="00000000" w:rsidP="00000000" w:rsidRDefault="00000000" w:rsidRPr="00000000" w14:paraId="0000003A">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3ckvvd">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Detailed Vulnerabilities</w:t>
              <w:tab/>
              <w:t xml:space="preserve">12</w:t>
            </w:r>
          </w:hyperlink>
          <w:r w:rsidDel="00000000" w:rsidR="00000000" w:rsidRPr="00000000">
            <w:rPr>
              <w:rtl w:val="0"/>
            </w:rPr>
          </w:r>
        </w:p>
        <w:p w:rsidR="00000000" w:rsidDel="00000000" w:rsidP="00000000" w:rsidRDefault="00000000" w:rsidRPr="00000000" w14:paraId="0000003B">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cxcshn96858">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Privilege Escalation</w:t>
              <w:tab/>
              <w:t xml:space="preserve">12</w:t>
            </w:r>
          </w:hyperlink>
          <w:r w:rsidDel="00000000" w:rsidR="00000000" w:rsidRPr="00000000">
            <w:rPr>
              <w:rtl w:val="0"/>
            </w:rPr>
          </w:r>
        </w:p>
        <w:p w:rsidR="00000000" w:rsidDel="00000000" w:rsidP="00000000" w:rsidRDefault="00000000" w:rsidRPr="00000000" w14:paraId="0000003C">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pf5zhwf6r7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Account Takeover via Host Header Injection</w:t>
              <w:tab/>
              <w:t xml:space="preserve">15</w:t>
            </w:r>
          </w:hyperlink>
          <w:r w:rsidDel="00000000" w:rsidR="00000000" w:rsidRPr="00000000">
            <w:rPr>
              <w:rtl w:val="0"/>
            </w:rPr>
          </w:r>
        </w:p>
        <w:p w:rsidR="00000000" w:rsidDel="00000000" w:rsidP="00000000" w:rsidRDefault="00000000" w:rsidRPr="00000000" w14:paraId="0000003D">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omgnp508h1s">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Open Redirection</w:t>
              <w:tab/>
              <w:t xml:space="preserve">18</w:t>
            </w:r>
          </w:hyperlink>
          <w:r w:rsidDel="00000000" w:rsidR="00000000" w:rsidRPr="00000000">
            <w:rPr>
              <w:rtl w:val="0"/>
            </w:rPr>
          </w:r>
        </w:p>
        <w:p w:rsidR="00000000" w:rsidDel="00000000" w:rsidP="00000000" w:rsidRDefault="00000000" w:rsidRPr="00000000" w14:paraId="0000003E">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stsfaq8ioxu">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Cross-origin Resource Sharing</w:t>
              <w:tab/>
              <w:t xml:space="preserve">20</w:t>
            </w:r>
          </w:hyperlink>
          <w:r w:rsidDel="00000000" w:rsidR="00000000" w:rsidRPr="00000000">
            <w:rPr>
              <w:rtl w:val="0"/>
            </w:rPr>
          </w:r>
        </w:p>
        <w:p w:rsidR="00000000" w:rsidDel="00000000" w:rsidP="00000000" w:rsidRDefault="00000000" w:rsidRPr="00000000" w14:paraId="0000003F">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mc066f67u1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Password Policy in Use</w:t>
              <w:tab/>
              <w:t xml:space="preserve">22</w:t>
            </w:r>
          </w:hyperlink>
          <w:r w:rsidDel="00000000" w:rsidR="00000000" w:rsidRPr="00000000">
            <w:rPr>
              <w:rtl w:val="0"/>
            </w:rPr>
          </w:r>
        </w:p>
        <w:p w:rsidR="00000000" w:rsidDel="00000000" w:rsidP="00000000" w:rsidRDefault="00000000" w:rsidRPr="00000000" w14:paraId="00000040">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7eg1hn8ws84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Appendix A</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2">
      <w:pPr>
        <w:pageBreakBefore w:val="1"/>
        <w:pStyle w:val="Heading1"/>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2jxsxqh" w:id="1"/>
      <w:bookmarkEnd w:id="1"/>
      <w:r w:rsidDel="00000000" w:rsidR="00000000" w:rsidRPr="00000000">
        <w:rPr>
          <w:rtl w:val="0"/>
        </w:rPr>
        <w:t xml:space="preserve">Introduction</w:t>
      </w:r>
    </w:p>
    <w:p w:rsidR="00000000" w:rsidDel="00000000" w:rsidP="00000000" w:rsidRDefault="00000000" w:rsidRPr="00000000" w14:paraId="0000004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i w:val="1"/>
          <w:iCs w:val="1"/>
        </w:rPr>
        <w:t xml:space="preserve">As part of an ongoing security program, krishna identified the need to conduct an application security assessment of its Web application &amp; APIs.</w:t>
      </w:r>
      <w:r w:rsidDel="00000000" w:rsidR="00000000" w:rsidRPr="00000000">
        <w:rPr>
          <w:rtl w:val="0"/>
          <w:i w:val="1"/>
          <w:iCs w:val="1"/>
        </w:rPr>
        <w:t xml:space="preserve"/>
      </w:r>
      <w:r w:rsidDel="00000000" w:rsidR="00000000" w:rsidRPr="00000000">
        <w:rPr>
          <w:rtl w:val="0"/>
          <w:i w:val="1"/>
          <w:iCs w:val="1"/>
        </w:rPr>
        <w:t xml:space="preserve"/>
      </w:r>
      <w:r w:rsidDel="00000000" w:rsidR="00000000" w:rsidRPr="00000000">
        <w:rPr>
          <w:rtl w:val="0"/>
          <w:i w:val="1"/>
          <w:iCs w:val="1"/>
        </w:rPr>
        <w:t xml:space="preserve"/>
      </w:r>
      <w:r w:rsidDel="00000000" w:rsidR="00000000" w:rsidRPr="00000000">
        <w:rPr>
          <w:rtl w:val="0"/>
          <w:i w:val="1"/>
          <w:iCs w:val="1"/>
        </w:rPr>
        <w:t xml:space="preserve"/>
      </w:r>
    </w:p>
    <w:p w:rsidR="00000000" w:rsidDel="00000000" w:rsidP="00000000" w:rsidRDefault="00000000" w:rsidRPr="00000000" w14:paraId="0000004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i w:val="1"/>
          <w:iCs w:val="1"/>
        </w:rPr>
        <w:t xml:space="preserve">This report presents the agreed scope, methodology, risk measurement model, summarized findings, and detailed technical observations for the selected assessment window.</w:t>
      </w:r>
      <w:r w:rsidDel="00000000" w:rsidR="00000000" w:rsidRPr="00000000">
        <w:rPr>
          <w:rtl w:val="0"/>
          <w:i w:val="1"/>
          <w:iCs w:val="1"/>
        </w:rPr>
        <w:t xml:space="preserve"/>
      </w:r>
      <w:r w:rsidDel="00000000" w:rsidR="00000000" w:rsidRPr="00000000">
        <w:rPr>
          <w:rtl w:val="0"/>
          <w:i w:val="1"/>
          <w:iCs w:val="1"/>
        </w:rPr>
        <w:t xml:space="preserve"/>
      </w:r>
      <w:r w:rsidDel="00000000" w:rsidR="00000000" w:rsidRPr="00000000">
        <w:rPr>
          <w:rtl w:val="0"/>
          <w:i w:val="1"/>
          <w:iCs w:val="1"/>
        </w:rPr>
        <w:t xml:space="preserve"/>
      </w:r>
      <w:r w:rsidDel="00000000" w:rsidR="00000000" w:rsidRPr="00000000">
        <w:rPr>
          <w:rtl w:val="0"/>
          <w:i w:val="1"/>
          <w:iCs w:val="1"/>
        </w:rPr>
        <w:t xml:space="preserve"/>
      </w:r>
    </w:p>
    <w:p w:rsidR="00000000" w:rsidDel="00000000" w:rsidP="00000000" w:rsidRDefault="00000000" w:rsidRPr="00000000" w14:paraId="0000004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i w:val="1"/>
          <w:iCs w:val="1"/>
        </w:rPr>
        <w:t xml:space="preserve">The following lists the objectives of this assessment:</w:t>
      </w:r>
      <w:r w:rsidDel="00000000" w:rsidR="00000000" w:rsidRPr="00000000">
        <w:rPr>
          <w:rtl w:val="0"/>
          <w:i w:val="1"/>
          <w:iCs w:val="1"/>
        </w:rPr>
        <w:t xml:space="preserve"/>
      </w:r>
      <w:r w:rsidDel="00000000" w:rsidR="00000000" w:rsidRPr="00000000">
        <w:rPr>
          <w:rtl w:val="0"/>
          <w:i w:val="1"/>
          <w:iCs w:val="1"/>
        </w:rPr>
        <w:t xml:space="preserve"/>
      </w:r>
      <w:r w:rsidDel="00000000" w:rsidR="00000000" w:rsidRPr="00000000">
        <w:rPr>
          <w:rtl w:val="0"/>
          <w:i w:val="1"/>
          <w:iCs w:val="1"/>
        </w:rPr>
        <w:t xml:space="preserve"/>
      </w:r>
      <w:r w:rsidDel="00000000" w:rsidR="00000000" w:rsidRPr="00000000">
        <w:rPr>
          <w:rtl w:val="0"/>
          <w:i w:val="1"/>
          <w:iCs w:val="1"/>
        </w:rPr>
        <w:t xml:space="preserve"/>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Determine the overall security posture of the application</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Provide a list of key findings and recommendations for remediation</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Document the assessment scope, risk evaluation, and final outcomes</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Support remediation planning with actionable technical detail</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Securify's approach to the assessment</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Assessment scope</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Key findings listed with their qualitative risk assessment</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Detailed recommendations for each finding</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A remediation plan</w:t>
      </w:r>
    </w:p>
    <w:p w:rsidR="00000000" w:rsidDel="00000000" w:rsidP="00000000" w:rsidRDefault="00000000" w:rsidRPr="00000000" w14:paraId="0000004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i w:val="1"/>
          <w:iCs w:val="1"/>
        </w:rPr>
        <w:t xml:space="preserve">This report includes the following parameters and results of the assessment:</w:t>
      </w:r>
      <w:r w:rsidDel="00000000" w:rsidR="00000000" w:rsidRPr="00000000">
        <w:rPr>
          <w:rtl w:val="0"/>
          <w:i w:val="1"/>
          <w:iCs w:val="1"/>
        </w:rPr>
        <w:t xml:space="preserve"/>
      </w:r>
      <w:r w:rsidDel="00000000" w:rsidR="00000000" w:rsidRPr="00000000">
        <w:rPr>
          <w:rtl w:val="0"/>
          <w:i w:val="1"/>
          <w:iCs w:val="1"/>
        </w:rPr>
        <w:t xml:space="preserve"/>
      </w:r>
      <w:r w:rsidDel="00000000" w:rsidR="00000000" w:rsidRPr="00000000">
        <w:rPr>
          <w:rtl w:val="0"/>
          <w:i w:val="1"/>
          <w:iCs w:val="1"/>
        </w:rPr>
        <w:t xml:space="preserve"/>
      </w:r>
      <w:r w:rsidDel="00000000" w:rsidR="00000000" w:rsidRPr="00000000">
        <w:rPr>
          <w:rtl w:val="0"/>
          <w:i w:val="1"/>
          <w:iCs w:val="1"/>
        </w:rPr>
        <w:t xml:space="preserve"/>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Securify's approach to the assessment</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Assessment scope</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Key findings listed with their qualitative risk assessment</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Detailed recommendations for each finding</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A remediation plan</w:t>
      </w:r>
    </w:p>
    <w:p w:rsidR="00000000" w:rsidDel="00000000" w:rsidP="00000000" w:rsidRDefault="00000000" w:rsidRPr="00000000" w14:paraId="0000004F">
      <w:pPr>
        <w:pStyle w:val="Heading1"/>
        <w:pageBreakBefore w:val="1"/>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z337ya" w:id="2"/>
      <w:bookmarkEnd w:id="2"/>
      <w:r w:rsidDel="00000000" w:rsidR="00000000" w:rsidRPr="00000000">
        <w:rPr>
          <w:rtl w:val="0"/>
        </w:rPr>
        <w:t xml:space="preserve">Approach</w:t>
      </w:r>
      <w:r w:rsidDel="00000000" w:rsidR="00000000" w:rsidRPr="00000000">
        <w:rPr>
          <w:rtl w:val="0"/>
        </w:rPr>
      </w:r>
    </w:p>
    <w:p w:rsidR="00000000" w:rsidDel="00000000" w:rsidP="00000000" w:rsidRDefault="00000000" w:rsidRPr="00000000" w14:paraId="0000005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Securify performed a Runtime Application Vulnerability Assessment of the krishna's web application, associated APIs, and all components defined within the assessment scope.</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5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The assessment was conducted using industry-accepted methodologies, primarily based on the OWASP Web Security Testing Guide (WSTG) and OWASP ASVS, and involved both manual testing and automated analysis.</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53">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3j2qqm3" w:id="3"/>
      <w:bookmarkEnd w:id="3"/>
      <w:r w:rsidDel="00000000" w:rsidR="00000000" w:rsidRPr="00000000">
        <w:rPr>
          <w:rtl w:val="0"/>
        </w:rPr>
        <w:t xml:space="preserve">Runtime Application Vulnerability Assessment</w:t>
      </w:r>
    </w:p>
    <w:p w:rsidR="00000000" w:rsidDel="00000000" w:rsidP="00000000" w:rsidRDefault="00000000" w:rsidRPr="00000000" w14:paraId="0000005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The Runtime Application Vulnerability Assessment involved detecting security vulnerabilities through detailed examination and testing of the application in a runtime environment. This assessment emulates an attack by a skilled adversary in a controlled setting and allows krishna to ascertain the kinds of vulnerabilities that may be realistically exploited. A Runtime Application Vulnerability Assessment includes the following phases:</w:t>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color w:val="000000"/>
        </w:rPr>
        <w:t xml:space="preserve">Information Gathering – The application was reviewed as an anonymous, authenticated, and privileged user to understand differences in access and behavior. Technologies, frameworks, APIs, and third-party integrations were also identified to support targeted testing.</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color w:val="000000"/>
        </w:rPr>
        <w:t xml:space="preserve">Authentication Testing – Authentication mechanisms were evaluated to determine the strength of login controls, password policies, and account recovery processes. Protections against brute-force attempts and session takeover scenarios were also reviewed to ensure users are securely authenticated.</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color w:val="000000"/>
        </w:rPr>
        <w:t xml:space="preserve">Authorization Testing – Tests were conducted to identify weaknesses in access control, including attempts to access other users' data or privileged functionality.</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color w:val="000000"/>
        </w:rPr>
        <w:t xml:space="preserve">Session Management – Session handling was assessed to ensure secure creation, storage, and invalidation of session tokens.</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color w:val="000000"/>
        </w:rPr>
        <w:t xml:space="preserve">Input Validation Attacks – User-controlled input fields were tested with malformed and malicious data to identify injection flaws and logic bypasses. This included attempts to exploit unexpected behavior, access unprotected functionality, or inject vulnerabilities such as XSS, SQL Injection, and Command Injection.</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color w:val="000000"/>
        </w:rPr>
        <w:t xml:space="preserve">Business Logic Testing – The application workflows were reviewed to identify opportunities to misuse or bypass intended processes. This included testing for logic errors, insufficient validation, and scenarios where typical constraints could be circumvented.</w:t>
      </w:r>
    </w:p>
    <w:p w:rsidR="00000000" w:rsidDel="00000000" w:rsidP="00000000" w:rsidRDefault="00000000" w:rsidRPr="00000000" w14:paraId="0000005D">
      <w:pPr>
        <w:pageBreakBefore w:val="1"/>
        <w:pStyle w:val="Heading1"/>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1y810tw" w:id="5"/>
      <w:bookmarkEnd w:id="5"/>
      <w:r w:rsidDel="00000000" w:rsidR="00000000" w:rsidRPr="00000000">
        <w:rPr>
          <w:rtl w:val="0"/>
        </w:rPr>
        <w:t xml:space="preserve">Scope</w:t>
      </w:r>
    </w:p>
    <w:p w:rsidR="00000000" w:rsidDel="00000000" w:rsidP="00000000" w:rsidRDefault="00000000" w:rsidRPr="00000000" w14:paraId="0000005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The assessment was conducted between May 07, 2026 and May 15, 2026. The re-assessment was conducted between May 07, 2026 and May 15, 2026. Testing was performed remotely.</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5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The scope of the assessment was limited to the environments and targets below:</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5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b w:val="1"/>
          <w:bCs w:val="1"/>
          <w:color w:val="000000"/>
        </w:rPr>
        <w:t xml:space="preserve">Application Details</w:t>
      </w:r>
      <w:r w:rsidDel="00000000" w:rsidR="00000000" w:rsidRPr="00000000">
        <w:rPr>
          <w:rtl w:val="0"/>
          <w:b w:val="1"/>
          <w:bCs w:val="1"/>
          <w:color w:val="000000"/>
        </w:rPr>
        <w:t xml:space="preserve"/>
      </w:r>
      <w:r w:rsidDel="00000000" w:rsidR="00000000" w:rsidRPr="00000000">
        <w:rPr>
          <w:rtl w:val="0"/>
          <w:b w:val="1"/>
          <w:bCs w:val="1"/>
          <w:color w:val="000000"/>
        </w:rPr>
        <w:t xml:space="preserve"/>
      </w:r>
      <w:r w:rsidDel="00000000" w:rsidR="00000000" w:rsidRPr="00000000">
        <w:rPr>
          <w:rtl w:val="0"/>
          <w:b w:val="1"/>
          <w:bCs w:val="1"/>
          <w:color w:val="000000"/>
        </w:rPr>
        <w:t xml:space="preserve"/>
      </w:r>
      <w:r w:rsidDel="00000000" w:rsidR="00000000" w:rsidRPr="00000000">
        <w:rPr>
          <w:rtl w:val="0"/>
          <w:b w:val="1"/>
          <w:bCs w:val="1"/>
          <w:color w:val="000000"/>
        </w:rPr>
        <w:t xml:space="preserve"/>
      </w:r>
      <w:r w:rsidDel="00000000" w:rsidR="00000000" w:rsidRPr="00000000">
        <w:rPr>
          <w:rtl w:val="0"/>
          <w:b w:val="1"/>
          <w:bCs w:val="1"/>
          <w:color w:val="000000"/>
        </w:rPr>
        <w:t xml:space="preserve"/>
      </w:r>
      <w:r w:rsidDel="00000000" w:rsidR="00000000" w:rsidRPr="00000000">
        <w:rPr>
          <w:rtl w:val="0"/>
          <w:b w:val="1"/>
          <w:bCs w:val="1"/>
          <w:color w:val="000000"/>
        </w:rPr>
        <w:t xml:space="preserve"/>
      </w:r>
      <w:r w:rsidDel="00000000" w:rsidR="00000000" w:rsidRPr="00000000">
        <w:rPr>
          <w:rtl w:val="0"/>
          <w:b w:val="1"/>
          <w:bCs w:val="1"/>
          <w:color w:val="000000"/>
        </w:rPr>
        <w:t xml:space="preserve"/>
      </w:r>
      <w:r w:rsidDel="00000000" w:rsidR="00000000" w:rsidRPr="00000000">
        <w:rPr>
          <w:rtl w:val="0"/>
          <w:b w:val="1"/>
          <w:bCs w:val="1"/>
          <w:color w:val="000000"/>
        </w:rPr>
        <w:t xml:space="preserve"/>
      </w:r>
    </w:p>
    <w:tbl>
      <w:tblPr>
        <w:tblStyle w:val="Table1"/>
        <w:tblW w:w="9300.0" w:type="dxa"/>
        <w:jc w:val="left"/>
        <w:tblInd w:w="18.999999999999986"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4185"/>
        <w:gridCol w:w="5115"/>
        <w:tblGridChange w:id="0">
          <w:tblGrid>
            <w:gridCol w:w="4185"/>
            <w:gridCol w:w="5115"/>
          </w:tblGrid>
        </w:tblGridChange>
      </w:tblGrid>
      <w:tr>
        <w:trPr>
          <w:cantSplit w:val="1"/>
          <w:trHeight w:val="426" w:hRule="atLeast"/>
          <w:tblHeader w:val="0"/>
        </w:trPr>
        <w:tc>
          <w:tcPr>
            <w:shd w:val="clear" w:color="auto" w:fill="4CC51F"/>
          </w:tcPr>
          <w:p w:rsidR="00000000" w:rsidDel="00000000" w:rsidP="00000000" w:rsidRDefault="00000000" w:rsidRPr="00000000" w14:paraId="0000006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Name</w:t>
            </w:r>
            <w:r w:rsidDel="00000000" w:rsidR="00000000" w:rsidRPr="00000000">
              <w:rPr>
                <w:rtl w:val="0"/>
                <w:color w:val="FFFFFF"/>
              </w:rPr>
            </w:r>
          </w:p>
        </w:tc>
        <w:tc>
          <w:tcPr>
            <w:shd w:val="clear" w:color="auto" w:fill="4CC51F"/>
          </w:tcPr>
          <w:p w:rsidR="00000000" w:rsidDel="00000000" w:rsidP="00000000" w:rsidRDefault="00000000" w:rsidRPr="00000000" w14:paraId="00000062">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color w:val="FFFFFF"/>
              </w:rPr>
              <w:t xml:space="preserve">URL</w:t>
            </w:r>
          </w:p>
        </w:tc>
      </w:tr>
      <w:tr>
        <w:trPr>
          <w:cantSplit w:val="1"/>
          <w:trHeight w:val="404" w:hRule="atLeast"/>
          <w:tblHeader w:val="0"/>
        </w:trPr>
        <w:tc>
          <w:tcPr>
            <w:shd w:val="clear" w:color="auto" w:fill="E2F3DA"/>
          </w:tcPr>
          <w:p w:rsidR="00000000" w:rsidDel="00000000" w:rsidP="00000000" w:rsidRDefault="00000000" w:rsidRPr="00000000" w14:paraId="0000006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Application Name  securify 1</w:t>
            </w:r>
          </w:p>
        </w:tc>
        <w:tc>
          <w:tcPr>
            <w:shd w:val="clear" w:color="auto" w:fill="E2F3DA"/>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rPr>
              <w:t xml:space="preserve">http://securify.com1</w:t>
            </w:r>
          </w:p>
        </w:tc>
      </w:tr>
      <w:tr>
        <w:trPr>
          <w:cantSplit w:val="1"/>
          <w:trHeight w:val="404" w:hRule="atLeast"/>
          <w:tblHeader w:val="0"/>
        </w:trPr>
        <w:tc>
          <w:tcPr>
            <w:shd w:val="clear" w:color="auto" w:fill="E2F3DA"/>
          </w:tcPr>
          <w:p w:rsidR="00000000" w:rsidDel="00000000" w:rsidP="00000000" w:rsidRDefault="00000000" w:rsidRPr="00000000" w14:paraId="0000006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Application Name  securify 2</w:t>
            </w:r>
          </w:p>
        </w:tc>
        <w:tc>
          <w:tcPr>
            <w:shd w:val="clear" w:color="auto" w:fill="E2F3DA"/>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rPr>
              <w:t xml:space="preserve">http://securify.com2</w:t>
            </w:r>
          </w:p>
        </w:tc>
      </w:tr>
      <w:tr>
        <w:trPr>
          <w:cantSplit w:val="1"/>
          <w:trHeight w:val="404" w:hRule="atLeast"/>
          <w:tblHeader w:val="0"/>
        </w:trPr>
        <w:tc>
          <w:tcPr>
            <w:shd w:val="clear" w:color="auto" w:fill="E2F3DA"/>
          </w:tcPr>
          <w:p w:rsidR="00000000" w:rsidDel="00000000" w:rsidP="00000000" w:rsidRDefault="00000000" w:rsidRPr="00000000" w14:paraId="0000006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Application Name  securify 2</w:t>
            </w:r>
          </w:p>
        </w:tc>
        <w:tc>
          <w:tcPr>
            <w:shd w:val="clear" w:color="auto" w:fill="E2F3DA"/>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rPr>
              <w:t xml:space="preserve">http://securify.com3</w:t>
            </w:r>
          </w:p>
        </w:tc>
      </w:tr>
    </w:tbl>
    <w:p>
      <w:pPr>
        <w:spacing w:after="240"/>
      </w:pPr>
    </w:p>
    <w:p w:rsidR="00000000" w:rsidDel="00000000" w:rsidP="00000000" w:rsidRDefault="00000000" w:rsidRPr="00000000" w14:paraId="0000005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b w:val="1"/>
          <w:bCs w:val="1"/>
          <w:color w:val="000000"/>
        </w:rPr>
        <w:t xml:space="preserve">User Roles (Web application &amp; API)</w:t>
      </w:r>
      <w:r w:rsidDel="00000000" w:rsidR="00000000" w:rsidRPr="00000000">
        <w:rPr>
          <w:rtl w:val="0"/>
          <w:b w:val="1"/>
          <w:bCs w:val="1"/>
          <w:color w:val="000000"/>
        </w:rPr>
        <w:t xml:space="preserve"/>
      </w:r>
      <w:r w:rsidDel="00000000" w:rsidR="00000000" w:rsidRPr="00000000">
        <w:rPr>
          <w:rtl w:val="0"/>
          <w:b w:val="1"/>
          <w:bCs w:val="1"/>
          <w:color w:val="000000"/>
        </w:rPr>
        <w:t xml:space="preserve"/>
      </w:r>
      <w:r w:rsidDel="00000000" w:rsidR="00000000" w:rsidRPr="00000000">
        <w:rPr>
          <w:rtl w:val="0"/>
          <w:b w:val="1"/>
          <w:bCs w:val="1"/>
          <w:color w:val="000000"/>
        </w:rPr>
        <w:t xml:space="preserve"/>
      </w:r>
      <w:r w:rsidDel="00000000" w:rsidR="00000000" w:rsidRPr="00000000">
        <w:rPr>
          <w:rtl w:val="0"/>
          <w:b w:val="1"/>
          <w:bCs w:val="1"/>
          <w:color w:val="000000"/>
        </w:rPr>
        <w:t xml:space="preserve"/>
      </w:r>
      <w:r w:rsidDel="00000000" w:rsidR="00000000" w:rsidRPr="00000000">
        <w:rPr>
          <w:rtl w:val="0"/>
          <w:b w:val="1"/>
          <w:bCs w:val="1"/>
          <w:color w:val="000000"/>
        </w:rPr>
        <w:t xml:space="preserve"/>
      </w:r>
      <w:r w:rsidDel="00000000" w:rsidR="00000000" w:rsidRPr="00000000">
        <w:rPr>
          <w:rtl w:val="0"/>
          <w:b w:val="1"/>
          <w:bCs w:val="1"/>
          <w:color w:val="000000"/>
        </w:rPr>
        <w:t xml:space="preserve"/>
      </w:r>
      <w:r w:rsidDel="00000000" w:rsidR="00000000" w:rsidRPr="00000000">
        <w:rPr>
          <w:rtl w:val="0"/>
          <w:b w:val="1"/>
          <w:bCs w:val="1"/>
          <w:color w:val="000000"/>
        </w:rPr>
        <w:t xml:space="preserve"/>
      </w:r>
      <w:r w:rsidDel="00000000" w:rsidR="00000000" w:rsidRPr="00000000">
        <w:rPr>
          <w:rtl w:val="0"/>
          <w:b w:val="1"/>
          <w:bCs w:val="1"/>
          <w:color w:val="000000"/>
        </w:rPr>
        <w:t xml:space="preserve"/>
      </w:r>
    </w:p>
    <w:tbl>
      <w:tblPr>
        <w:tblStyle w:val="Table2"/>
        <w:tblW w:w="9285.0" w:type="dxa"/>
        <w:jc w:val="left"/>
        <w:tblInd w:w="4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4260"/>
        <w:gridCol w:w="5025"/>
        <w:tblGridChange w:id="0">
          <w:tblGrid>
            <w:gridCol w:w="4260"/>
            <w:gridCol w:w="5025"/>
          </w:tblGrid>
        </w:tblGridChange>
      </w:tblGrid>
      <w:tr>
        <w:trPr>
          <w:cantSplit w:val="1"/>
          <w:tblHeader w:val="0"/>
        </w:trPr>
        <w:tc>
          <w:tcPr>
            <w:tcBorders>
              <w:top w:color="efefef" w:space="0" w:sz="4" w:val="single"/>
              <w:left w:color="000000" w:space="0" w:sz="0" w:val="nil"/>
              <w:bottom w:color="efefef" w:space="0" w:sz="4" w:val="single"/>
              <w:right w:color="000000" w:space="0" w:sz="0" w:val="nil"/>
            </w:tcBorders>
            <w:vAlign w:val="center"/>
            <w:shd w:val="clear" w:color="auto" w:fill="4CC51F"/>
          </w:tcPr>
          <w:p w:rsidR="00000000" w:rsidDel="00000000" w:rsidP="00000000" w:rsidRDefault="00000000" w:rsidRPr="00000000" w14:paraId="00000068">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Role</w:t>
            </w:r>
          </w:p>
        </w:tc>
        <w:tc>
          <w:tcPr>
            <w:tcBorders>
              <w:top w:color="efefef" w:space="0" w:sz="4" w:val="single"/>
              <w:left w:color="000000" w:space="0" w:sz="0" w:val="nil"/>
              <w:bottom w:color="efefef" w:space="0" w:sz="4" w:val="single"/>
              <w:right w:color="efefef" w:space="0" w:sz="4" w:val="single"/>
            </w:tcBorders>
            <w:vAlign w:val="center"/>
            <w:shd w:val="clear" w:color="auto" w:fill="4CC51F"/>
          </w:tcPr>
          <w:p w:rsidR="00000000" w:rsidDel="00000000" w:rsidP="00000000" w:rsidRDefault="00000000" w:rsidRPr="00000000" w14:paraId="00000069">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Username</w:t>
            </w:r>
          </w:p>
        </w:tc>
      </w:tr>
      <w:tr>
        <w:trPr>
          <w:cantSplit w:val="1"/>
          <w:tblHeader w:val="0"/>
        </w:trPr>
        <w:tc>
          <w:tcPr>
            <w:tcBorders>
              <w:top w:color="efefef" w:space="0" w:sz="4" w:val="single"/>
              <w:left w:color="efefef" w:space="0" w:sz="4" w:val="single"/>
              <w:bottom w:color="efefef" w:space="0" w:sz="4" w:val="single"/>
              <w:right w:color="efefef" w:space="0" w:sz="4" w:val="single"/>
            </w:tcBorders>
            <w:vAlign w:val="center"/>
            <w:shd w:val="clear" w:color="auto" w:fill="E2F3DA"/>
          </w:tcPr>
          <w:p w:rsidR="00000000" w:rsidDel="00000000" w:rsidP="00000000" w:rsidRDefault="00000000" w:rsidRPr="00000000" w14:paraId="0000006A">
            <w:pPr>
              <w:tabs>
                <w:tab w:val="right" w:leader="none" w:pos="9360"/>
                <w:tab w:val="right" w:leader="none" w:pos="9360"/>
                <w:tab w:val="right" w:leader="none" w:pos="9360"/>
                <w:tab w:val="right" w:leader="none" w:pos="9360"/>
                <w:tab w:val="right" w:leader="none" w:pos="9360"/>
                <w:tab w:val="right" w:leader="none" w:pos="9360"/>
              </w:tabs>
              <w:spacing w:line="276" w:lineRule="auto"/>
              <w:ind w:firstLine="0"/>
              <w:rPr/>
              <w:keepNext w:val="1"/>
            </w:pPr>
            <w:r w:rsidDel="00000000" w:rsidR="00000000" w:rsidRPr="00000000">
              <w:rPr>
                <w:rtl w:val="0"/>
              </w:rPr>
              <w:t xml:space="preserve">Admin</w:t>
            </w:r>
          </w:p>
        </w:tc>
        <w:tc>
          <w:tcPr>
            <w:tcBorders>
              <w:top w:color="efefef" w:space="0" w:sz="4" w:val="single"/>
              <w:left w:color="efefef" w:space="0" w:sz="4" w:val="single"/>
              <w:bottom w:color="efefef" w:space="0" w:sz="4" w:val="single"/>
              <w:right w:color="efefef" w:space="0" w:sz="4" w:val="single"/>
            </w:tcBorders>
            <w:vAlign w:val="center"/>
            <w:shd w:val="clear" w:color="auto" w:fill="E2F3DA"/>
          </w:tcPr>
          <w:p w:rsidR="00000000" w:rsidDel="00000000" w:rsidP="00000000" w:rsidRDefault="00000000" w:rsidRPr="00000000" w14:paraId="0000006B">
            <w:pPr>
              <w:widowControl w:val="1"/>
              <w:tabs>
                <w:tab w:val="right" w:leader="none" w:pos="9360"/>
              </w:tabs>
              <w:spacing w:line="276" w:lineRule="auto"/>
              <w:ind w:firstLine="0"/>
              <w:jc w:val="left"/>
              <w:rPr/>
              <w:keepNext w:val="1"/>
            </w:pPr>
            <w:r w:rsidDel="00000000" w:rsidR="00000000" w:rsidRPr="00000000">
              <w:rPr>
                <w:rtl w:val="0"/>
              </w:rPr>
              <w:t xml:space="preserve">rahul</w:t>
            </w:r>
          </w:p>
        </w:tc>
      </w:tr>
      <w:tr>
        <w:trPr>
          <w:cantSplit w:val="1"/>
          <w:tblHeader w:val="0"/>
        </w:trPr>
        <w:tc>
          <w:tcPr>
            <w:tcBorders>
              <w:top w:color="efefef" w:space="0" w:sz="4" w:val="single"/>
              <w:left w:color="efefef" w:space="0" w:sz="4" w:val="single"/>
              <w:bottom w:color="efefef" w:space="0" w:sz="4" w:val="single"/>
              <w:right w:color="efefef" w:space="0" w:sz="4" w:val="single"/>
            </w:tcBorders>
            <w:vAlign w:val="center"/>
            <w:shd w:val="clear" w:color="auto" w:fill="E2F3DA"/>
          </w:tcPr>
          <w:p w:rsidR="00000000" w:rsidDel="00000000" w:rsidP="00000000" w:rsidRDefault="00000000" w:rsidRPr="00000000" w14:paraId="0000006A">
            <w:pPr>
              <w:tabs>
                <w:tab w:val="right" w:leader="none" w:pos="9360"/>
                <w:tab w:val="right" w:leader="none" w:pos="9360"/>
                <w:tab w:val="right" w:leader="none" w:pos="9360"/>
                <w:tab w:val="right" w:leader="none" w:pos="9360"/>
                <w:tab w:val="right" w:leader="none" w:pos="9360"/>
                <w:tab w:val="right" w:leader="none" w:pos="9360"/>
              </w:tabs>
              <w:spacing w:line="276" w:lineRule="auto"/>
              <w:ind w:firstLine="0"/>
              <w:rPr/>
              <w:keepNext w:val="1"/>
            </w:pPr>
            <w:r w:rsidDel="00000000" w:rsidR="00000000" w:rsidRPr="00000000">
              <w:rPr>
                <w:rtl w:val="0"/>
              </w:rPr>
              <w:t xml:space="preserve">client</w:t>
            </w:r>
          </w:p>
        </w:tc>
        <w:tc>
          <w:tcPr>
            <w:tcBorders>
              <w:top w:color="efefef" w:space="0" w:sz="4" w:val="single"/>
              <w:left w:color="efefef" w:space="0" w:sz="4" w:val="single"/>
              <w:bottom w:color="efefef" w:space="0" w:sz="4" w:val="single"/>
              <w:right w:color="efefef" w:space="0" w:sz="4" w:val="single"/>
            </w:tcBorders>
            <w:vAlign w:val="center"/>
            <w:shd w:val="clear" w:color="auto" w:fill="E2F3DA"/>
          </w:tcPr>
          <w:p w:rsidR="00000000" w:rsidDel="00000000" w:rsidP="00000000" w:rsidRDefault="00000000" w:rsidRPr="00000000" w14:paraId="0000006B">
            <w:pPr>
              <w:widowControl w:val="1"/>
              <w:tabs>
                <w:tab w:val="right" w:leader="none" w:pos="9360"/>
              </w:tabs>
              <w:spacing w:line="276" w:lineRule="auto"/>
              <w:ind w:firstLine="0"/>
              <w:jc w:val="left"/>
              <w:rPr/>
              <w:keepNext w:val="1"/>
            </w:pPr>
            <w:r w:rsidDel="00000000" w:rsidR="00000000" w:rsidRPr="00000000">
              <w:rPr>
                <w:rtl w:val="0"/>
              </w:rPr>
              <w:t xml:space="preserve">Nitin</w:t>
            </w:r>
          </w:p>
        </w:tc>
      </w:tr>
    </w:tbl>
    <w:p>
      <w:pPr>
        <w:spacing w:after="240"/>
      </w:pPr>
    </w:p>
    <w:p w:rsidR="00000000" w:rsidDel="00000000" w:rsidP="00000000" w:rsidRDefault="00000000" w:rsidRPr="00000000" w14:paraId="0000005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b w:val="1"/>
          <w:bCs w:val="1"/>
          <w:color w:val="000000"/>
        </w:rPr>
        <w:t xml:space="preserve">Tools</w:t>
      </w:r>
      <w:r w:rsidDel="00000000" w:rsidR="00000000" w:rsidRPr="00000000">
        <w:rPr>
          <w:rtl w:val="0"/>
          <w:b w:val="1"/>
          <w:bCs w:val="1"/>
          <w:color w:val="000000"/>
        </w:rPr>
        <w:t xml:space="preserve"/>
      </w:r>
      <w:r w:rsidDel="00000000" w:rsidR="00000000" w:rsidRPr="00000000">
        <w:rPr>
          <w:rtl w:val="0"/>
          <w:b w:val="1"/>
          <w:bCs w:val="1"/>
          <w:color w:val="000000"/>
        </w:rPr>
        <w:t xml:space="preserve"/>
      </w:r>
      <w:r w:rsidDel="00000000" w:rsidR="00000000" w:rsidRPr="00000000">
        <w:rPr>
          <w:rtl w:val="0"/>
          <w:b w:val="1"/>
          <w:bCs w:val="1"/>
          <w:color w:val="000000"/>
        </w:rPr>
        <w:t xml:space="preserve"/>
      </w:r>
      <w:r w:rsidDel="00000000" w:rsidR="00000000" w:rsidRPr="00000000">
        <w:rPr>
          <w:rtl w:val="0"/>
          <w:b w:val="1"/>
          <w:bCs w:val="1"/>
          <w:color w:val="000000"/>
        </w:rPr>
        <w:t xml:space="preserve"/>
      </w:r>
      <w:r w:rsidDel="00000000" w:rsidR="00000000" w:rsidRPr="00000000">
        <w:rPr>
          <w:rtl w:val="0"/>
          <w:b w:val="1"/>
          <w:bCs w:val="1"/>
          <w:color w:val="000000"/>
        </w:rPr>
        <w:t xml:space="preserve"/>
      </w:r>
      <w:r w:rsidDel="00000000" w:rsidR="00000000" w:rsidRPr="00000000">
        <w:rPr>
          <w:rtl w:val="0"/>
          <w:b w:val="1"/>
          <w:bCs w:val="1"/>
          <w:color w:val="000000"/>
        </w:rPr>
        <w:t xml:space="preserve"/>
      </w:r>
      <w:r w:rsidDel="00000000" w:rsidR="00000000" w:rsidRPr="00000000">
        <w:rPr>
          <w:rtl w:val="0"/>
          <w:b w:val="1"/>
          <w:bCs w:val="1"/>
          <w:color w:val="000000"/>
        </w:rPr>
        <w:t xml:space="preserve"/>
      </w:r>
      <w:r w:rsidDel="00000000" w:rsidR="00000000" w:rsidRPr="00000000">
        <w:rPr>
          <w:rtl w:val="0"/>
          <w:b w:val="1"/>
          <w:bCs w:val="1"/>
          <w:color w:val="000000"/>
        </w:rPr>
        <w:t xml:space="preserve"/>
      </w:r>
    </w:p>
    <w:tbl>
      <w:tblPr>
        <w:tblStyle w:val="Table3"/>
        <w:tblW w:w="9255.0" w:type="dxa"/>
        <w:jc w:val="left"/>
        <w:tblInd w:w="13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4185"/>
        <w:gridCol w:w="5070"/>
        <w:tblGridChange w:id="0">
          <w:tblGrid>
            <w:gridCol w:w="4185"/>
            <w:gridCol w:w="5070"/>
          </w:tblGrid>
        </w:tblGridChange>
      </w:tblGrid>
      <w:tr>
        <w:trPr>
          <w:cantSplit w:val="1"/>
          <w:tblHeader w:val="0"/>
        </w:trPr>
        <w:tc>
          <w:tcPr>
            <w:vAlign w:val="center"/>
            <w:shd w:val="clear" w:color="auto" w:fill="4CC51F"/>
          </w:tcPr>
          <w:p w:rsidR="00000000" w:rsidDel="00000000" w:rsidP="00000000" w:rsidRDefault="00000000" w:rsidRPr="00000000" w14:paraId="0000006F">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Tool Name</w:t>
            </w:r>
          </w:p>
        </w:tc>
        <w:tc>
          <w:tcPr>
            <w:vAlign w:val="center"/>
            <w:shd w:val="clear" w:color="auto" w:fill="4CC51F"/>
          </w:tcPr>
          <w:p w:rsidR="00000000" w:rsidDel="00000000" w:rsidP="00000000" w:rsidRDefault="00000000" w:rsidRPr="00000000" w14:paraId="00000070">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Description</w:t>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Burp Professional Pro</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An advanced proxy for testing web security.</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OpenSSL</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An open-source package to assess security in transit.</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Nmap</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 tool used to discover hosts and services on a network.</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SQLMap</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Python-based CLI tool that identifies SQL injection issues.</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Acunetix Pro</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An automated scanner to perform authenticated scans on the web app / APIs.</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cURL Utility</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Command line utility to perform HTTP/s requests.</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bl>
    <w:p>
      <w:pPr>
        <w:spacing w:after="240"/>
      </w:pPr>
    </w:p>
    <w:p w:rsidR="00000000" w:rsidDel="00000000" w:rsidP="00000000" w:rsidRDefault="00000000" w:rsidRPr="00000000" w14:paraId="00000046">
      <w:p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
      </w:r>
    </w:p>
    <w:p w:rsidR="00000000" w:rsidDel="00000000" w:rsidP="00000000" w:rsidRDefault="00000000" w:rsidRPr="00000000" w14:paraId="00000046">
      <w:p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The following components and tests were out of scope for this review:</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Any applications and infrastructure external to the krishna's Web Application &amp; API.</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In cases where the krishna's Web Application &amp; API had inbound and/or outbound interfaces with:</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Another application, the interfaces, and communications were considered in scope.</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All other external elements were excluded.</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Supporting policies, procedures, and processes.</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Social Engineering.</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Software Development Life Cycle.</w:t>
      </w:r>
    </w:p>
    <w:p w:rsidR="00000000" w:rsidDel="00000000" w:rsidP="00000000" w:rsidRDefault="00000000" w:rsidRPr="00000000" w14:paraId="0000008B">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3whwml4" w:id="9"/>
      <w:bookmarkEnd w:id="9"/>
      <w:r w:rsidDel="00000000" w:rsidR="00000000" w:rsidRPr="00000000">
        <w:rPr>
          <w:rtl w:val="0"/>
        </w:rPr>
        <w:t xml:space="preserve">Assessment Limitation</w:t>
      </w:r>
    </w:p>
    <w:p w:rsidR="00000000" w:rsidDel="00000000" w:rsidP="00000000" w:rsidRDefault="00000000" w:rsidRPr="00000000" w14:paraId="0000008C">
      <w:pPr>
        <w:tabs>
          <w:tab w:val="right" w:leader="none" w:pos="9360"/>
          <w:tab w:val="right" w:leader="none" w:pos="9360"/>
          <w:tab w:val="right" w:leader="none" w:pos="9360"/>
          <w:tab w:val="right" w:leader="none" w:pos="9360"/>
          <w:tab w:val="right" w:leader="none" w:pos="9360"/>
          <w:tab w:val="right" w:leader="none" w:pos="9360"/>
        </w:tabs>
        <w:ind w:left="0" w:firstLine="0"/>
        <w:rPr/>
      </w:pPr>
      <w:r w:rsidDel="00000000" w:rsidR="00000000" w:rsidRPr="00000000">
        <w:rPr>
          <w:rtl w:val="0"/>
        </w:rPr>
        <w:t xml:space="preserve">The ever-changing technology landscape and the increasing sophistication of attacks against networked systems are reasons why no entity can truthfully claim to identify all security issues or guarantee the lifetime security of an organization's network and applications. Note that this point-in-time assessment was based on a best-effort basis. It was also performed only in the environment provided by krishna. Thus, changes to the environment may impact the applicability of the results provided herein.</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8C">
      <w:pPr>
        <w:tabs>
          <w:tab w:val="right" w:leader="none" w:pos="9360"/>
          <w:tab w:val="right" w:leader="none" w:pos="9360"/>
          <w:tab w:val="right" w:leader="none" w:pos="9360"/>
          <w:tab w:val="right" w:leader="none" w:pos="9360"/>
          <w:tab w:val="right" w:leader="none" w:pos="9360"/>
          <w:tab w:val="right" w:leader="none" w:pos="9360"/>
        </w:tabs>
        <w:ind w:left="0" w:firstLine="0"/>
        <w:rPr/>
      </w:pPr>
      <w:r w:rsidDel="00000000" w:rsidR="00000000" w:rsidRPr="00000000">
        <w:rPr>
          <w:rtl w:val="0"/>
        </w:rPr>
        <w:t xml:space="preserve">Securify cannot guarantee 100% coverage for any security assessment.</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92">
      <w:pPr>
        <w:pStyle w:val="Heading1"/>
        <w:keepNext w:val="0"/>
        <w:keepLines w:val="0"/>
        <w:pageBreakBefore w:val="1"/>
        <w:tabs>
          <w:tab w:val="right" w:leader="none" w:pos="9360"/>
          <w:tab w:val="right" w:leader="none" w:pos="9360"/>
          <w:tab w:val="right" w:leader="none" w:pos="9360"/>
        </w:tabs>
        <w:rPr/>
      </w:pPr>
      <w:bookmarkStart w:colFirst="0" w:colLast="0" w:name="_heading=h.2zqlghxj9gg0" w:id="10"/>
      <w:bookmarkEnd w:id="10"/>
      <w:r w:rsidDel="00000000" w:rsidR="00000000" w:rsidRPr="00000000">
        <w:rPr>
          <w:rtl w:val="0"/>
        </w:rPr>
        <w:t xml:space="preserve">Findings and Recommendation</w:t>
      </w:r>
    </w:p>
    <w:p w:rsidR="00000000" w:rsidDel="00000000" w:rsidP="00000000" w:rsidRDefault="00000000" w:rsidRPr="00000000" w14:paraId="00000093">
      <w:pPr>
        <w:pStyle w:val="Heading2"/>
        <w:tabs>
          <w:tab w:val="right" w:leader="none" w:pos="9360"/>
          <w:tab w:val="right" w:leader="none" w:pos="9360"/>
          <w:tab w:val="right" w:leader="none" w:pos="9360"/>
        </w:tabs>
        <w:rPr/>
      </w:pPr>
      <w:bookmarkStart w:colFirst="0" w:colLast="0" w:name="_heading=h.qsh70q" w:id="11"/>
      <w:bookmarkEnd w:id="11"/>
      <w:r w:rsidDel="00000000" w:rsidR="00000000" w:rsidRPr="00000000">
        <w:rPr>
          <w:rtl w:val="0"/>
        </w:rPr>
        <w:t xml:space="preserve">Risk Classification</w:t>
      </w:r>
    </w:p>
    <w:p w:rsidR="00000000" w:rsidDel="00000000" w:rsidP="00000000" w:rsidRDefault="00000000" w:rsidRPr="00000000" w14:paraId="00000094">
      <w:pPr>
        <w:tabs>
          <w:tab w:val="right" w:leader="none" w:pos="9360"/>
          <w:tab w:val="right" w:leader="none" w:pos="9360"/>
          <w:tab w:val="right" w:leader="none" w:pos="9360"/>
          <w:tab w:val="right" w:leader="none" w:pos="9360"/>
        </w:tabs>
        <w:rPr/>
      </w:pPr>
      <w:r w:rsidDel="00000000" w:rsidR="00000000" w:rsidRPr="00000000">
        <w:rPr>
          <w:rtl w:val="0"/>
        </w:rPr>
        <w:t xml:space="preserve">The remainder of this report describes the vulnerabilities that Securify identified as part of the assessment, their impact, and recommendations for resolving the vulnerabilities. To assist in determining the risk posed by these vulnerabilities, Securify leverages the OWASP Application Security Risk Rating Methodology. The observations have been categorized based on technical Impact and Likelihood, explained below. These impact and likelihood scores may be further modified by krishna based on the business criticality of the target.</w:t>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95">
      <w:pPr>
        <w:pStyle w:val="Heading2"/>
        <w:tabs>
          <w:tab w:val="right" w:leader="none" w:pos="9360"/>
          <w:tab w:val="right" w:leader="none" w:pos="9360"/>
          <w:tab w:val="right" w:leader="none" w:pos="9360"/>
          <w:tab w:val="right" w:leader="none" w:pos="9360"/>
        </w:tabs>
        <w:rPr/>
      </w:pPr>
      <w:bookmarkStart w:colFirst="0" w:colLast="0" w:name="_heading=h.sjob4txaqeta" w:id="12"/>
      <w:bookmarkEnd w:id="12"/>
      <w:r w:rsidDel="00000000" w:rsidR="00000000" w:rsidRPr="00000000">
        <w:rPr>
          <w:rtl w:val="0"/>
        </w:rPr>
        <w:t xml:space="preserve">Measurement of Impact</w:t>
      </w:r>
    </w:p>
    <w:sdt>
      <w:sdtPr>
        <w:lock w:val="contentLocked"/>
        <w:id w:val="949205241"/>
        <w:tag w:val="goog_rdk_0"/>
      </w:sdtPr>
      <w:sdtContent>
        <w:tbl>
          <w:tblPr>
            <w:tblStyle w:val="Table4"/>
            <w:tblW w:w="9380.0" w:type="dxa"/>
            <w:jc w:val="left"/>
            <w:tblInd w:w="-2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808.7403100775193"/>
            <w:gridCol w:w="172.6937984496124"/>
            <w:gridCol w:w="3699.282945736434"/>
            <w:gridCol w:w="3699.282945736434"/>
            <w:tblGridChange w:id="0">
              <w:tblGrid>
                <w:gridCol w:w="1808.7403100775193"/>
                <w:gridCol w:w="172.6937984496124"/>
                <w:gridCol w:w="3699.282945736434"/>
                <w:gridCol w:w="3699.282945736434"/>
              </w:tblGrid>
            </w:tblGridChange>
          </w:tblGrid>
          <w:tr>
            <w:trPr>
              <w:cantSplit w:val="1"/>
              <w:trHeight w:val="362" w:hRule="atLeast"/>
              <w:tblHeader w:val="0"/>
            </w:trPr>
            <w:tc>
              <w:tcPr>
                <w:gridSpan w:val="2"/>
                <w:shd w:val="clear" w:color="auto" w:fill="4CC51F"/>
              </w:tcPr>
              <w:p w:rsidR="00000000" w:rsidDel="00000000" w:rsidP="00000000" w:rsidRDefault="00000000" w:rsidRPr="00000000" w14:paraId="0000009B">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keepNext w:val="1"/>
                </w:pPr>
                <w:r w:rsidDel="00000000" w:rsidR="00000000" w:rsidRPr="00000000">
                  <w:rPr>
                    <w:rtl w:val="0"/>
                    <w:color w:val="FFFFFF"/>
                  </w:rPr>
                  <w:t xml:space="preserve">Factor</w:t>
                </w:r>
              </w:p>
            </w:tc>
            <w:tc>
              <w:tcPr>
                <w:shd w:val="clear" w:color="auto" w:fill="4CC51F"/>
              </w:tcPr>
              <w:p w:rsidR="00000000" w:rsidDel="00000000" w:rsidP="00000000" w:rsidRDefault="00000000" w:rsidRPr="00000000" w14:paraId="0000009D">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keepNext w:val="1"/>
                </w:pPr>
                <w:r w:rsidDel="00000000" w:rsidR="00000000" w:rsidRPr="00000000">
                  <w:rPr>
                    <w:rtl w:val="0"/>
                    <w:color w:val="FFFFFF"/>
                  </w:rPr>
                  <w:t xml:space="preserve">Description</w:t>
                </w:r>
              </w:p>
            </w:tc>
            <w:tc>
              <w:tcPr>
                <w:shd w:val="clear" w:color="auto" w:fill="4CC51F"/>
              </w:tcPr>
              <w:p w:rsidR="00000000" w:rsidDel="00000000" w:rsidP="00000000" w:rsidRDefault="00000000" w:rsidRPr="00000000" w14:paraId="0000009E">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keepNext w:val="1"/>
                </w:pPr>
                <w:r w:rsidDel="00000000" w:rsidR="00000000" w:rsidRPr="00000000">
                  <w:rPr>
                    <w:rtl w:val="0"/>
                    <w:color w:val="FFFFFF"/>
                  </w:rPr>
                  <w:t xml:space="preserve">Effect on Impact</w:t>
                </w:r>
              </w:p>
            </w:tc>
          </w:tr>
          <w:tr>
            <w:trPr>
              <w:cantSplit w:val="1"/>
              <w:trHeight w:val="1319" w:hRule="atLeast"/>
              <w:tblHeader w:val="0"/>
            </w:trPr>
            <w:tc>
              <w:tcPr>
                <w:shd w:val="clear" w:color="auto" w:fill="E2F3DA"/>
              </w:tcPr>
              <w:p w:rsidR="00000000" w:rsidDel="00000000" w:rsidP="00000000" w:rsidRDefault="00000000" w:rsidRPr="00000000" w14:paraId="0000009F">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Classification of Data Loss</w:t>
                </w:r>
              </w:p>
            </w:tc>
            <w:tc>
              <w:tcPr>
                <w:gridSpan w:val="2"/>
                <w:shd w:val="clear" w:color="auto" w:fill="E2F3DA"/>
              </w:tcPr>
              <w:p w:rsidR="00000000" w:rsidDel="00000000" w:rsidP="00000000" w:rsidRDefault="00000000" w:rsidRPr="00000000" w14:paraId="000000A0">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keepNext w:val="1"/>
                </w:pPr>
                <w:r w:rsidDel="00000000" w:rsidR="00000000" w:rsidRPr="00000000">
                  <w:rPr>
                    <w:rtl w:val="0"/>
                  </w:rPr>
                  <w:t xml:space="preserve">If an attacker exploited this vulnerability, what type of data would they access or steal? Non-sensitive, non-customer-specific data would lower the impact.</w:t>
                </w:r>
              </w:p>
            </w:tc>
            <w:tc>
              <w:tcPr>
                <w:shd w:val="clear" w:color="auto" w:fill="E2F3DA"/>
              </w:tcPr>
              <w:p w:rsidR="00000000" w:rsidDel="00000000" w:rsidP="00000000" w:rsidRDefault="00000000" w:rsidRPr="00000000" w14:paraId="000000A2">
                <w:pPr>
                  <w:tabs>
                    <w:tab w:val="right" w:leader="none" w:pos="9360"/>
                  </w:tabs>
                  <w:jc w:val="left"/>
                  <w:rPr/>
                  <w:keepNext w:val="1"/>
                </w:pPr>
                <w:r w:rsidDel="00000000" w:rsidR="00000000" w:rsidRPr="00000000">
                  <w:rPr>
                    <w:rtl w:val="0"/>
                  </w:rPr>
                  <w:t xml:space="preserve">Less critical data reduces the overall impact.</w:t>
                </w:r>
              </w:p>
            </w:tc>
          </w:tr>
          <w:tr>
            <w:trPr>
              <w:cantSplit w:val="1"/>
              <w:trHeight w:val="1170" w:hRule="atLeast"/>
              <w:tblHeader w:val="0"/>
            </w:trPr>
            <w:tc>
              <w:tcPr>
                <w:shd w:val="clear" w:color="auto" w:fill="E2F3DA"/>
              </w:tcPr>
              <w:p w:rsidR="00000000" w:rsidDel="00000000" w:rsidP="00000000" w:rsidRDefault="00000000" w:rsidRPr="00000000" w14:paraId="000000A3">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Data Integrity</w:t>
                </w:r>
              </w:p>
            </w:tc>
            <w:tc>
              <w:tcPr>
                <w:gridSpan w:val="2"/>
                <w:shd w:val="clear" w:color="auto" w:fill="E2F3DA"/>
              </w:tcPr>
              <w:p w:rsidR="00000000" w:rsidDel="00000000" w:rsidP="00000000" w:rsidRDefault="00000000" w:rsidRPr="00000000" w14:paraId="000000A4">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Could the attacker modify or delete data they shouldn't? If yes, what kind of data could they corrupt?</w:t>
                </w:r>
              </w:p>
            </w:tc>
            <w:tc>
              <w:tcPr>
                <w:shd w:val="clear" w:color="auto" w:fill="E2F3DA"/>
              </w:tcPr>
              <w:p w:rsidR="00000000" w:rsidDel="00000000" w:rsidP="00000000" w:rsidRDefault="00000000" w:rsidRPr="00000000" w14:paraId="000000A6">
                <w:pPr>
                  <w:tabs>
                    <w:tab w:val="right" w:leader="none" w:pos="9360"/>
                  </w:tabs>
                  <w:jc w:val="left"/>
                  <w:rPr/>
                  <w:keepNext w:val="1"/>
                </w:pPr>
                <w:r w:rsidDel="00000000" w:rsidR="00000000" w:rsidRPr="00000000">
                  <w:rPr>
                    <w:rtl w:val="0"/>
                  </w:rPr>
                  <w:t xml:space="preserve">Non-critical or limited modification rights reduce the impact of exploitation.</w:t>
                </w:r>
              </w:p>
            </w:tc>
          </w:tr>
          <w:tr>
            <w:trPr>
              <w:cantSplit w:val="1"/>
              <w:trHeight w:val="1560" w:hRule="atLeast"/>
              <w:tblHeader w:val="0"/>
            </w:trPr>
            <w:tc>
              <w:tcPr>
                <w:shd w:val="clear" w:color="auto" w:fill="E2F3DA"/>
              </w:tcPr>
              <w:p w:rsidR="00000000" w:rsidDel="00000000" w:rsidP="00000000" w:rsidRDefault="00000000" w:rsidRPr="00000000" w14:paraId="000000A7">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Blast Radius</w:t>
                </w:r>
              </w:p>
            </w:tc>
            <w:tc>
              <w:tcPr>
                <w:gridSpan w:val="2"/>
                <w:shd w:val="clear" w:color="auto" w:fill="E2F3DA"/>
              </w:tcPr>
              <w:p w:rsidR="00000000" w:rsidDel="00000000" w:rsidP="00000000" w:rsidRDefault="00000000" w:rsidRPr="00000000" w14:paraId="000000A8">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How many users or systems would be affected by this vulnerability? For instance, an obscure service affects fewer users, while a public system affects many.</w:t>
                </w:r>
              </w:p>
            </w:tc>
            <w:tc>
              <w:tcPr>
                <w:shd w:val="clear" w:color="auto" w:fill="E2F3DA"/>
              </w:tcPr>
              <w:p w:rsidR="00000000" w:rsidDel="00000000" w:rsidP="00000000" w:rsidRDefault="00000000" w:rsidRPr="00000000" w14:paraId="000000AA">
                <w:pPr>
                  <w:tabs>
                    <w:tab w:val="right" w:leader="none" w:pos="9360"/>
                  </w:tabs>
                  <w:jc w:val="left"/>
                  <w:rPr/>
                </w:pPr>
                <w:r w:rsidDel="00000000" w:rsidR="00000000" w:rsidRPr="00000000">
                  <w:rPr>
                    <w:rtl w:val="0"/>
                  </w:rPr>
                  <w:t xml:space="preserve">A small number of victims lowers the severity.</w:t>
                </w:r>
              </w:p>
            </w:tc>
          </w:tr>
        </w:tbl>
      </w:sdtContent>
    </w:sdt>
    <w:p w:rsidR="00000000" w:rsidDel="00000000" w:rsidP="00000000" w:rsidRDefault="00000000" w:rsidRPr="00000000" w14:paraId="00000096">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Impact is an estimation of the potential damage via a successful exploit of a vulnerability. We'll use the following factors to help qualitatively determine the impact of a vulnerability.</w:t>
      </w:r>
    </w:p>
    <w:p w:rsidR="00000000" w:rsidDel="00000000" w:rsidP="00000000" w:rsidRDefault="00000000" w:rsidRPr="00000000" w14:paraId="00000097">
      <w:pPr>
        <w:numPr>
          <w:ilvl w:val="0"/>
          <w:numId w:val="6"/>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b w:val="1"/>
          <w:bCs w:val="1"/>
          <w:color w:val="000000"/>
        </w:rPr>
        <w:t xml:space="preserve">Low Impact:</w:t>
      </w:r>
      <w:r>
        <w:rPr>
          <w:color w:val="000000"/>
        </w:rPr>
        <w:t xml:space="preserve"> When most/all factors indicate limited consequences (e.g., non-sensitive data, no ability to alter/delete key data, and low victim count).</w:t>
      </w:r>
    </w:p>
    <w:p w:rsidR="00000000" w:rsidDel="00000000" w:rsidP="00000000" w:rsidRDefault="00000000" w:rsidRPr="00000000" w14:paraId="00000097">
      <w:pPr>
        <w:numPr>
          <w:ilvl w:val="0"/>
          <w:numId w:val="6"/>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b w:val="1"/>
          <w:bCs w:val="1"/>
          <w:color w:val="000000"/>
        </w:rPr>
        <w:t xml:space="preserve">Medium Impact:</w:t>
      </w:r>
      <w:r>
        <w:rPr>
          <w:color w:val="000000"/>
        </w:rPr>
        <w:t xml:space="preserve"> When about half of the factors suggest higher damage and half point to limited effects.</w:t>
      </w:r>
    </w:p>
    <w:p w:rsidR="00000000" w:rsidDel="00000000" w:rsidP="00000000" w:rsidRDefault="00000000" w:rsidRPr="00000000" w14:paraId="00000097">
      <w:pPr>
        <w:numPr>
          <w:ilvl w:val="0"/>
          <w:numId w:val="6"/>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b w:val="1"/>
          <w:bCs w:val="1"/>
          <w:color w:val="000000"/>
        </w:rPr>
        <w:t xml:space="preserve">High Impact:</w:t>
      </w:r>
      <w:r>
        <w:rPr>
          <w:color w:val="000000"/>
        </w:rPr>
        <w:t xml:space="preserve"> When most/all factors highlight significant damage (e.g., sensitive data loss, wide data corruption, and a large number of victims).</w:t>
      </w:r>
    </w:p>
    <w:p w:rsidR="00000000" w:rsidDel="00000000" w:rsidP="00000000" w:rsidRDefault="00000000" w:rsidRPr="00000000" w14:paraId="000000AC">
      <w:pPr>
        <w:pStyle w:val="Heading2"/>
        <w:tabs>
          <w:tab w:val="right" w:leader="none" w:pos="9360"/>
          <w:tab w:val="right" w:leader="none" w:pos="9360"/>
          <w:tab w:val="right" w:leader="none" w:pos="9360"/>
          <w:tab w:val="right" w:leader="none" w:pos="9360"/>
        </w:tabs>
        <w:rPr/>
      </w:pPr>
      <w:bookmarkStart w:colFirst="0" w:colLast="0" w:name="_heading=h.2yf4qu3z5t7n" w:id="14"/>
      <w:bookmarkEnd w:id="14"/>
      <w:r w:rsidDel="00000000" w:rsidR="00000000" w:rsidRPr="00000000">
        <w:rPr>
          <w:rtl w:val="0"/>
        </w:rPr>
        <w:t xml:space="preserve">Measurement of Likelihood</w:t>
      </w:r>
    </w:p>
    <w:sdt>
      <w:sdtPr>
        <w:lock w:val="contentLocked"/>
        <w:id w:val="-515788086"/>
        <w:tag w:val="goog_rdk_1"/>
      </w:sdtPr>
      <w:sdtContent>
        <w:tbl>
          <w:tblPr>
            <w:tblStyle w:val="Table5"/>
            <w:tblW w:w="9330.0" w:type="dxa"/>
            <w:jc w:val="left"/>
            <w:tblInd w:w="4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800"/>
            <w:gridCol w:w="3915"/>
            <w:gridCol w:w="3615"/>
            <w:tblGridChange w:id="0">
              <w:tblGrid>
                <w:gridCol w:w="1800"/>
                <w:gridCol w:w="3915"/>
                <w:gridCol w:w="3615"/>
              </w:tblGrid>
            </w:tblGridChange>
          </w:tblGrid>
          <w:tr>
            <w:trPr>
              <w:cantSplit w:val="1"/>
              <w:trHeight w:val="365" w:hRule="atLeast"/>
              <w:tblHeader w:val="0"/>
            </w:trPr>
            <w:tc>
              <w:tcPr>
                <w:vAlign w:val="bottom"/>
                <w:shd w:val="clear" w:color="auto" w:fill="4CC51F"/>
              </w:tcPr>
              <w:p w:rsidR="00000000" w:rsidDel="00000000" w:rsidP="00000000" w:rsidRDefault="00000000" w:rsidRPr="00000000" w14:paraId="000000B2">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line="360" w:lineRule="auto"/>
                  <w:jc w:val="center"/>
                  <w:rPr/>
                  <w:keepNext w:val="1"/>
                </w:pPr>
                <w:r w:rsidDel="00000000" w:rsidR="00000000" w:rsidRPr="00000000">
                  <w:rPr>
                    <w:rtl w:val="0"/>
                    <w:color w:val="FFFFFF"/>
                  </w:rPr>
                  <w:t xml:space="preserve">Factor</w:t>
                </w:r>
              </w:p>
            </w:tc>
            <w:tc>
              <w:tcPr>
                <w:vAlign w:val="bottom"/>
                <w:shd w:val="clear" w:color="auto" w:fill="4CC51F"/>
              </w:tcPr>
              <w:p w:rsidR="00000000" w:rsidDel="00000000" w:rsidP="00000000" w:rsidRDefault="00000000" w:rsidRPr="00000000" w14:paraId="000000B3">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line="360" w:lineRule="auto"/>
                  <w:jc w:val="center"/>
                  <w:rPr/>
                  <w:keepNext w:val="1"/>
                </w:pPr>
                <w:r w:rsidDel="00000000" w:rsidR="00000000" w:rsidRPr="00000000">
                  <w:rPr>
                    <w:rtl w:val="0"/>
                    <w:color w:val="FFFFFF"/>
                  </w:rPr>
                  <w:t xml:space="preserve">Description</w:t>
                </w:r>
              </w:p>
            </w:tc>
            <w:tc>
              <w:tcPr>
                <w:vAlign w:val="bottom"/>
                <w:shd w:val="clear" w:color="auto" w:fill="4CC51F"/>
              </w:tcPr>
              <w:p w:rsidR="00000000" w:rsidDel="00000000" w:rsidP="00000000" w:rsidRDefault="00000000" w:rsidRPr="00000000" w14:paraId="000000B4">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line="360" w:lineRule="auto"/>
                  <w:jc w:val="center"/>
                  <w:rPr/>
                  <w:keepNext w:val="1"/>
                </w:pPr>
                <w:r w:rsidDel="00000000" w:rsidR="00000000" w:rsidRPr="00000000">
                  <w:rPr>
                    <w:rtl w:val="0"/>
                    <w:color w:val="FFFFFF"/>
                  </w:rPr>
                  <w:t xml:space="preserve">Effect on Likelihood</w:t>
                </w:r>
              </w:p>
            </w:tc>
          </w:tr>
          <w:tr>
            <w:trPr>
              <w:cantSplit w:val="1"/>
              <w:trHeight w:val="1332" w:hRule="atLeast"/>
              <w:tblHeader w:val="0"/>
            </w:trPr>
            <w:tc>
              <w:tcPr>
                <w:shd w:val="clear" w:color="auto" w:fill="E2F3DA"/>
              </w:tcPr>
              <w:p w:rsidR="00000000" w:rsidDel="00000000" w:rsidP="00000000" w:rsidRDefault="00000000" w:rsidRPr="00000000" w14:paraId="000000B5">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keepNext w:val="1"/>
                </w:pPr>
                <w:r w:rsidDel="00000000" w:rsidR="00000000" w:rsidRPr="00000000">
                  <w:rPr>
                    <w:rtl w:val="0"/>
                  </w:rPr>
                  <w:t xml:space="preserve">Required Skill Level of Attacker</w:t>
                </w:r>
              </w:p>
            </w:tc>
            <w:tc>
              <w:tcPr>
                <w:shd w:val="clear" w:color="auto" w:fill="E2F3DA"/>
              </w:tcPr>
              <w:p w:rsidR="00000000" w:rsidDel="00000000" w:rsidP="00000000" w:rsidRDefault="00000000" w:rsidRPr="00000000" w14:paraId="000000B6">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60" w:lineRule="auto"/>
                  <w:jc w:val="left"/>
                  <w:rPr/>
                  <w:keepNext w:val="1"/>
                </w:pPr>
                <w:r w:rsidDel="00000000" w:rsidR="00000000" w:rsidRPr="00000000">
                  <w:rPr>
                    <w:rtl w:val="0"/>
                  </w:rPr>
                  <w:t xml:space="preserve">How technically skilled does the attacker need to be to exploit the vulnerability? The higher the required skills, the lower the likelihood.</w:t>
                </w:r>
              </w:p>
            </w:tc>
            <w:tc>
              <w:tcPr>
                <w:shd w:val="clear" w:color="auto" w:fill="E2F3DA"/>
              </w:tcPr>
              <w:p w:rsidR="00000000" w:rsidDel="00000000" w:rsidP="00000000" w:rsidRDefault="00000000" w:rsidRPr="00000000" w14:paraId="000000B7">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Complex skill requirements lower the chances of exploitation.</w:t>
                </w:r>
              </w:p>
            </w:tc>
          </w:tr>
          <w:tr>
            <w:trPr>
              <w:cantSplit w:val="1"/>
              <w:trHeight w:val="1332" w:hRule="atLeast"/>
              <w:tblHeader w:val="0"/>
            </w:trPr>
            <w:tc>
              <w:tcPr>
                <w:shd w:val="clear" w:color="auto" w:fill="E2F3DA"/>
              </w:tcPr>
              <w:p w:rsidR="00000000" w:rsidDel="00000000" w:rsidP="00000000" w:rsidRDefault="00000000" w:rsidRPr="00000000" w14:paraId="000000B8">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keepNext w:val="1"/>
                </w:pPr>
                <w:r w:rsidDel="00000000" w:rsidR="00000000" w:rsidRPr="00000000">
                  <w:rPr>
                    <w:rtl w:val="0"/>
                  </w:rPr>
                  <w:t xml:space="preserve">Number of Potential Attackers</w:t>
                </w:r>
              </w:p>
            </w:tc>
            <w:tc>
              <w:tcPr>
                <w:shd w:val="clear" w:color="auto" w:fill="E2F3DA"/>
              </w:tcPr>
              <w:p w:rsidR="00000000" w:rsidDel="00000000" w:rsidP="00000000" w:rsidRDefault="00000000" w:rsidRPr="00000000" w14:paraId="000000B9">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60" w:lineRule="auto"/>
                  <w:jc w:val="left"/>
                  <w:rPr/>
                  <w:keepNext w:val="1"/>
                </w:pPr>
                <w:r w:rsidDel="00000000" w:rsidR="00000000" w:rsidRPr="00000000">
                  <w:rPr>
                    <w:rtl w:val="0"/>
                  </w:rPr>
                  <w:t xml:space="preserve">How many attackers could potentially exploit this vulnerability? If access to the system is limited, fewer attackers can exploit it.</w:t>
                </w:r>
              </w:p>
            </w:tc>
            <w:tc>
              <w:tcPr>
                <w:shd w:val="clear" w:color="auto" w:fill="E2F3DA"/>
              </w:tcPr>
              <w:p w:rsidR="00000000" w:rsidDel="00000000" w:rsidP="00000000" w:rsidRDefault="00000000" w:rsidRPr="00000000" w14:paraId="000000BA">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Fewer attackers reduce the probability of exploitation.</w:t>
                </w:r>
              </w:p>
            </w:tc>
          </w:tr>
          <w:tr>
            <w:trPr>
              <w:cantSplit w:val="1"/>
              <w:trHeight w:val="1351" w:hRule="atLeast"/>
              <w:tblHeader w:val="0"/>
            </w:trPr>
            <w:tc>
              <w:tcPr>
                <w:shd w:val="clear" w:color="auto" w:fill="E2F3DA"/>
              </w:tcPr>
              <w:p w:rsidR="00000000" w:rsidDel="00000000" w:rsidP="00000000" w:rsidRDefault="00000000" w:rsidRPr="00000000" w14:paraId="000000BB">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keepNext w:val="1"/>
                </w:pPr>
                <w:r w:rsidDel="00000000" w:rsidR="00000000" w:rsidRPr="00000000">
                  <w:rPr>
                    <w:rtl w:val="0"/>
                  </w:rPr>
                  <w:t xml:space="preserve">Cost of Exploit</w:t>
                </w:r>
              </w:p>
            </w:tc>
            <w:tc>
              <w:tcPr>
                <w:shd w:val="clear" w:color="auto" w:fill="E2F3DA"/>
              </w:tcPr>
              <w:p w:rsidR="00000000" w:rsidDel="00000000" w:rsidP="00000000" w:rsidRDefault="00000000" w:rsidRPr="00000000" w14:paraId="000000BC">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60" w:lineRule="auto"/>
                  <w:jc w:val="left"/>
                  <w:rPr/>
                  <w:keepNext w:val="1"/>
                </w:pPr>
                <w:r w:rsidDel="00000000" w:rsidR="00000000" w:rsidRPr="00000000">
                  <w:rPr>
                    <w:rtl w:val="0"/>
                  </w:rPr>
                  <w:t xml:space="preserve">How expensive are the tools or resources required for exploitation? High costs reduce accessibility for attackers.</w:t>
                </w:r>
              </w:p>
            </w:tc>
            <w:tc>
              <w:tcPr>
                <w:shd w:val="clear" w:color="auto" w:fill="E2F3DA"/>
              </w:tcPr>
              <w:p w:rsidR="00000000" w:rsidDel="00000000" w:rsidP="00000000" w:rsidRDefault="00000000" w:rsidRPr="00000000" w14:paraId="000000BD">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Expensive tools lower the likelihood of exploitation.</w:t>
                </w:r>
              </w:p>
            </w:tc>
          </w:tr>
          <w:tr>
            <w:trPr>
              <w:cantSplit w:val="1"/>
              <w:trHeight w:val="1624" w:hRule="atLeast"/>
              <w:tblHeader w:val="0"/>
            </w:trPr>
            <w:tc>
              <w:tcPr>
                <w:shd w:val="clear" w:color="auto" w:fill="E2F3DA"/>
              </w:tcPr>
              <w:p w:rsidR="00000000" w:rsidDel="00000000" w:rsidP="00000000" w:rsidRDefault="00000000" w:rsidRPr="00000000" w14:paraId="000000BE">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pPr>
                <w:r w:rsidDel="00000000" w:rsidR="00000000" w:rsidRPr="00000000">
                  <w:rPr>
                    <w:rtl w:val="0"/>
                  </w:rPr>
                  <w:t xml:space="preserve">Ease of Exploit</w:t>
                </w:r>
              </w:p>
            </w:tc>
            <w:tc>
              <w:tcPr>
                <w:shd w:val="clear" w:color="auto" w:fill="E2F3DA"/>
              </w:tcPr>
              <w:p w:rsidR="00000000" w:rsidDel="00000000" w:rsidP="00000000" w:rsidRDefault="00000000" w:rsidRPr="00000000" w14:paraId="000000BF">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60" w:lineRule="auto"/>
                  <w:jc w:val="left"/>
                  <w:rPr/>
                </w:pPr>
                <w:r w:rsidDel="00000000" w:rsidR="00000000" w:rsidRPr="00000000">
                  <w:rPr>
                    <w:rtl w:val="0"/>
                  </w:rPr>
                  <w:t xml:space="preserve">How simple is it for the attacker to exploit the vulnerability once discovered? Does it rely on external events or tools?</w:t>
                </w:r>
              </w:p>
            </w:tc>
            <w:tc>
              <w:tcPr>
                <w:shd w:val="clear" w:color="auto" w:fill="E2F3DA"/>
              </w:tcPr>
              <w:p w:rsidR="00000000" w:rsidDel="00000000" w:rsidP="00000000" w:rsidRDefault="00000000" w:rsidRPr="00000000" w14:paraId="000000C0">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pPr>
                <w:r w:rsidDel="00000000" w:rsidR="00000000" w:rsidRPr="00000000">
                  <w:rPr>
                    <w:rtl w:val="0"/>
                  </w:rPr>
                  <w:t xml:space="preserve">Complex or multi-step scenarios reduce the chances of successful exploitation.</w:t>
                </w:r>
              </w:p>
            </w:tc>
          </w:tr>
        </w:tbl>
      </w:sdtContent>
    </w:sdt>
    <w:p w:rsidR="00000000" w:rsidDel="00000000" w:rsidP="00000000" w:rsidRDefault="00000000" w:rsidRPr="00000000" w14:paraId="000000AD">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Likelihood is a qualitative estimation of the probability of an attacker exploiting the vulnerability in question. In order to determine the likelihood of exploitation, we can consider the following factors:</w:t>
      </w:r>
    </w:p>
    <w:p w:rsidR="00000000" w:rsidDel="00000000" w:rsidP="00000000" w:rsidRDefault="00000000" w:rsidRPr="00000000" w14:paraId="000000AE">
      <w:pPr>
        <w:numPr>
          <w:ilvl w:val="0"/>
          <w:numId w:val="19"/>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b w:val="1"/>
          <w:bCs w:val="1"/>
          <w:color w:val="000000"/>
        </w:rPr>
        <w:t xml:space="preserve">Low Likelihood:</w:t>
      </w:r>
      <w:r>
        <w:rPr>
          <w:color w:val="000000"/>
        </w:rPr>
        <w:t xml:space="preserve"> Most/all factors suggest significant barriers to exploitation (e.g., complex skillset, limited attackers, high cost, or complex delivery).</w:t>
      </w:r>
    </w:p>
    <w:p w:rsidR="00000000" w:rsidDel="00000000" w:rsidP="00000000" w:rsidRDefault="00000000" w:rsidRPr="00000000" w14:paraId="000000AE">
      <w:pPr>
        <w:numPr>
          <w:ilvl w:val="0"/>
          <w:numId w:val="19"/>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b w:val="1"/>
          <w:bCs w:val="1"/>
          <w:color w:val="000000"/>
        </w:rPr>
        <w:t xml:space="preserve">Medium Likelihood:</w:t>
      </w:r>
      <w:r>
        <w:rPr>
          <w:color w:val="000000"/>
        </w:rPr>
        <w:t xml:space="preserve"> About half the factors indicate ease of exploitation, while the other half show barriers.</w:t>
      </w:r>
    </w:p>
    <w:p w:rsidR="00000000" w:rsidDel="00000000" w:rsidP="00000000" w:rsidRDefault="00000000" w:rsidRPr="00000000" w14:paraId="000000AE">
      <w:pPr>
        <w:numPr>
          <w:ilvl w:val="0"/>
          <w:numId w:val="19"/>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b w:val="1"/>
          <w:bCs w:val="1"/>
          <w:color w:val="000000"/>
        </w:rPr>
        <w:t xml:space="preserve">High Likelihood:</w:t>
      </w:r>
      <w:r>
        <w:rPr>
          <w:color w:val="000000"/>
        </w:rPr>
        <w:t xml:space="preserve"> Most/all factors point to easy and accessible exploitation (e.g., basic skills, low cost, and simple attack mechanisms).</w:t>
      </w:r>
    </w:p>
    <w:p w:rsidR="00000000" w:rsidDel="00000000" w:rsidP="00000000" w:rsidRDefault="00000000" w:rsidRPr="00000000" w14:paraId="000000C3">
      <w:pPr>
        <w:pageBreakBefore w:val="1"/>
        <w:pStyle w:val="Heading2"/>
        <w:tabs>
          <w:tab w:val="right" w:leader="none" w:pos="9360"/>
          <w:tab w:val="right" w:leader="none" w:pos="9360"/>
          <w:tab w:val="right" w:leader="none" w:pos="9360"/>
          <w:tab w:val="right" w:leader="none" w:pos="9360"/>
        </w:tabs>
        <w:rPr/>
      </w:pPr>
      <w:bookmarkStart w:colFirst="0" w:colLast="0" w:name="_heading=h.wklw5pr1a8z2" w:id="16"/>
      <w:bookmarkEnd w:id="16"/>
      <w:r w:rsidDel="00000000" w:rsidR="00000000" w:rsidRPr="00000000">
        <w:rPr>
          <w:rtl w:val="0"/>
        </w:rPr>
        <w:t xml:space="preserve">Overall Risk</w:t>
      </w:r>
    </w:p>
    <w:p w:rsidR="00000000" w:rsidDel="00000000" w:rsidP="00000000" w:rsidRDefault="00000000" w:rsidRPr="00000000" w14:paraId="000000C4">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after="200" w:lineRule="auto"/>
        <w:rPr/>
      </w:pPr>
      <w:r w:rsidDel="00000000" w:rsidR="00000000" w:rsidRPr="00000000">
        <w:rPr>
          <w:rtl w:val="0"/>
        </w:rPr>
        <w:t xml:space="preserve">The following graph illustrates how Impact x Likelihood scores translate to overall Low, Medium, and High-risk ratings:</w:t>
      </w:r>
    </w:p>
    <w:p w:rsidR="00000000" w:rsidDel="00000000" w:rsidP="00000000" w:rsidRDefault="00000000" w:rsidRPr="00000000" w14:paraId="000000C4">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after="200" w:lineRule="auto"/>
        <w:rPr/>
      </w:pPr>
      <w:r w:rsidDel="00000000" w:rsidR="00000000" w:rsidRPr="00000000">
        <w:rPr>
          <w:rtl w:val="0"/>
        </w:rPr>
        <w:t xml:space="preserve">Overall risk is derived from the intersection of impact and likelihood and is used to prioritize remediation efforts. Findings with the highest combined rating should be addressed first, especially where exploitability and business consequence are both significant.</w:t>
      </w:r>
    </w:p>
    <w:p w:rsidR="00000000" w:rsidDel="00000000" w:rsidP="00000000" w:rsidRDefault="00000000" w:rsidRPr="00000000" w14:paraId="000000C5">
      <w:pPr>
        <w:numPr>
          <w:ilvl w:val="0"/>
          <w:numId w:val="11"/>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b w:val="1"/>
          <w:bCs w:val="1"/>
          <w:color w:val="000000"/>
        </w:rPr>
        <w:t xml:space="preserve">Low Impact + Low Likelihood</w:t>
      </w:r>
      <w:r>
        <w:rPr>
          <w:color w:val="000000"/>
        </w:rPr>
        <w:t xml:space="preserve"> = Low Risk</w:t>
      </w:r>
    </w:p>
    <w:p w:rsidR="00000000" w:rsidDel="00000000" w:rsidP="00000000" w:rsidRDefault="00000000" w:rsidRPr="00000000" w14:paraId="000000C5">
      <w:pPr>
        <w:numPr>
          <w:ilvl w:val="0"/>
          <w:numId w:val="11"/>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b w:val="1"/>
          <w:bCs w:val="1"/>
          <w:color w:val="000000"/>
        </w:rPr>
        <w:t xml:space="preserve">High Impact + High Likelihood</w:t>
      </w:r>
      <w:r>
        <w:rPr>
          <w:color w:val="000000"/>
        </w:rPr>
        <w:t xml:space="preserve"> = Critical Risk</w:t>
      </w:r>
    </w:p>
    <w:tbl>
      <w:tblPr>
        <w:tblStyle w:val="Table1"/>
        <w:tblW w:w="9300.0" w:type="dxa"/>
        <w:jc w:val="left"/>
        <w:tblInd w:w="18.999999999999986"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4185"/>
        <w:gridCol w:w="5115"/>
        <w:tblGridChange w:id="0">
          <w:tblGrid>
            <w:gridCol w:w="4185"/>
            <w:gridCol w:w="5115"/>
          </w:tblGrid>
        </w:tblGridChange>
      </w:tblGrid>
      <w:tr>
        <w:trPr>
          <w:cantSplit w:val="1"/>
          <w:trHeight w:val="404" w:hRule="atLeast"/>
          <w:tblHeader w:val="0"/>
        </w:trPr>
        <w:tc>
          <w:tcPr>
            <w:shd w:val="clear" w:color="auto" w:fill="FFC000"/>
          </w:tcPr>
          <w:p w:rsidR="00000000" w:rsidDel="00000000" w:rsidP="00000000" w:rsidRDefault="00000000" w:rsidRPr="00000000" w14:paraId="0000006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000000"/>
              </w:rPr>
              <w:t xml:space="preserve">Medium</w:t>
            </w:r>
          </w:p>
        </w:tc>
        <w:tc>
          <w:tcPr>
            <w:shd w:val="clear" w:color="auto" w:fill="FF0000"/>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color w:val="FFFFFF"/>
              </w:rPr>
              <w:t xml:space="preserve">High</w:t>
            </w:r>
          </w:p>
        </w:tc>
        <w:tc>
          <w:tcPr>
            <w:shd w:val="clear" w:color="auto" w:fill="C00000"/>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color w:val="FFFFFF"/>
              </w:rPr>
              <w:t xml:space="preserve">Critical</w:t>
            </w:r>
          </w:p>
        </w:tc>
      </w:tr>
      <w:tr>
        <w:trPr>
          <w:cantSplit w:val="1"/>
          <w:trHeight w:val="404" w:hRule="atLeast"/>
          <w:tblHeader w:val="0"/>
        </w:trPr>
        <w:tc>
          <w:tcPr>
            <w:shd w:val="clear" w:color="auto" w:fill="00B050"/>
          </w:tcPr>
          <w:p w:rsidR="00000000" w:rsidDel="00000000" w:rsidP="00000000" w:rsidRDefault="00000000" w:rsidRPr="00000000" w14:paraId="0000006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Low</w:t>
            </w:r>
          </w:p>
        </w:tc>
        <w:tc>
          <w:tcPr>
            <w:shd w:val="clear" w:color="auto" w:fill="FFC000"/>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color w:val="000000"/>
              </w:rPr>
              <w:t xml:space="preserve">Medium</w:t>
            </w:r>
          </w:p>
        </w:tc>
        <w:tc>
          <w:tcPr>
            <w:shd w:val="clear" w:color="auto" w:fill="FF0000"/>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color w:val="FFFFFF"/>
              </w:rPr>
              <w:t xml:space="preserve">High</w:t>
            </w:r>
          </w:p>
        </w:tc>
      </w:tr>
      <w:tr>
        <w:trPr>
          <w:cantSplit w:val="1"/>
          <w:trHeight w:val="404" w:hRule="atLeast"/>
          <w:tblHeader w:val="0"/>
        </w:trPr>
        <w:tc>
          <w:tcPr>
            <w:shd w:val="clear" w:color="auto" w:fill="00B050"/>
          </w:tcPr>
          <w:p w:rsidR="00000000" w:rsidDel="00000000" w:rsidP="00000000" w:rsidRDefault="00000000" w:rsidRPr="00000000" w14:paraId="0000006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Low</w:t>
            </w:r>
          </w:p>
        </w:tc>
        <w:tc>
          <w:tcPr>
            <w:shd w:val="clear" w:color="auto" w:fill="00B050"/>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color w:val="FFFFFF"/>
              </w:rPr>
              <w:t xml:space="preserve">Low</w:t>
            </w:r>
          </w:p>
        </w:tc>
        <w:tc>
          <w:tcPr>
            <w:shd w:val="clear" w:color="auto" w:fill="FFC000"/>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color w:val="000000"/>
              </w:rPr>
              <w:t xml:space="preserve">Medium</w:t>
            </w:r>
          </w:p>
        </w:tc>
      </w:tr>
    </w:tbl>
    <w:p w:rsidR="00000000" w:rsidDel="00000000" w:rsidP="00000000" w:rsidRDefault="00000000" w:rsidRPr="00000000" w14:paraId="000000C9">
      <w:pPr>
        <w:pStyle w:val="Heading2"/>
        <w:tabs>
          <w:tab w:val="right" w:leader="none" w:pos="9360"/>
          <w:tab w:val="right" w:leader="none" w:pos="9360"/>
          <w:tab w:val="right" w:leader="none" w:pos="9360"/>
        </w:tabs>
        <w:rPr/>
      </w:pPr>
      <w:bookmarkStart w:colFirst="0" w:colLast="0" w:name="_heading=h.2p2csry" w:id="17"/>
      <w:bookmarkEnd w:id="17"/>
      <w:r w:rsidDel="00000000" w:rsidR="00000000" w:rsidRPr="00000000">
        <w:rPr>
          <w:rtl w:val="0"/>
        </w:rPr>
        <w:t xml:space="preserve">Zero-risk Issues</w:t>
      </w:r>
    </w:p>
    <w:p w:rsidR="00000000" w:rsidDel="00000000" w:rsidP="00000000" w:rsidRDefault="00000000" w:rsidRPr="00000000" w14:paraId="000000CA">
      <w:pPr>
        <w:widowControl w:val="1"/>
        <w:tabs>
          <w:tab w:val="right" w:leader="none" w:pos="9360"/>
          <w:tab w:val="right" w:leader="none" w:pos="9360"/>
          <w:tab w:val="right" w:leader="none" w:pos="9360"/>
          <w:tab w:val="right" w:leader="none" w:pos="9360"/>
        </w:tabs>
        <w:spacing w:before="0" w:line="276" w:lineRule="auto"/>
        <w:rPr/>
      </w:pPr>
      <w:r w:rsidDel="00000000" w:rsidR="00000000" w:rsidRPr="00000000">
        <w:rPr>
          <w:rtl w:val="0"/>
        </w:rPr>
        <w:t xml:space="preserve">There are cases where a particular issue doesn't have direct security impact or likelihood of exploitation. These could be issues related to documentation or semantics that are suggested based on the security assessors' technical and industry experience. Such issues shall be reported with an Informational risk rating.</w:t>
      </w:r>
      <w:r w:rsidDel="00000000" w:rsidR="00000000" w:rsidRPr="00000000">
        <w:br w:type="page"/>
      </w:r>
      <w:r w:rsidDel="00000000" w:rsidR="00000000" w:rsidRPr="00000000">
        <w:rPr>
          <w:rtl w:val="0"/>
        </w:rPr>
      </w:r>
    </w:p>
    <w:p w:rsidR="00000000" w:rsidDel="00000000" w:rsidP="00000000" w:rsidRDefault="00000000" w:rsidRPr="00000000" w14:paraId="000000CB">
      <w:pPr>
        <w:pStyle w:val="Heading1"/>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147n2zr" w:id="18"/>
      <w:bookmarkEnd w:id="18"/>
      <w:r w:rsidDel="00000000" w:rsidR="00000000" w:rsidRPr="00000000">
        <w:rPr>
          <w:rtl w:val="0"/>
        </w:rPr>
        <w:t xml:space="preserve">Vulnerabilities</w:t>
      </w:r>
    </w:p>
    <w:p w:rsidR="00000000" w:rsidDel="00000000" w:rsidP="00000000" w:rsidRDefault="00000000" w:rsidRPr="00000000" w14:paraId="000000CC">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3o7alnk" w:id="19"/>
      <w:bookmarkEnd w:id="19"/>
      <w:r w:rsidDel="00000000" w:rsidR="00000000" w:rsidRPr="00000000">
        <w:rPr>
          <w:rtl w:val="0"/>
        </w:rPr>
        <w:t xml:space="preserve">Summary</w:t>
      </w:r>
    </w:p>
    <w:p w:rsidR="00000000" w:rsidDel="00000000" w:rsidP="00000000" w:rsidRDefault="00000000" w:rsidRPr="00000000" w14:paraId="000000CD">
      <w:pPr>
        <w:tabs>
          <w:tab w:val="right" w:leader="none" w:pos="9360"/>
          <w:tab w:val="right" w:leader="none" w:pos="9360"/>
          <w:tab w:val="right" w:leader="none" w:pos="9360"/>
          <w:tab w:val="right" w:leader="none" w:pos="9360"/>
          <w:tab w:val="right" w:leader="none" w:pos="9360"/>
          <w:tab w:val="right" w:leader="none" w:pos="9360"/>
        </w:tabs>
        <w:ind w:left="0" w:firstLine="0"/>
        <w:rPr/>
        <w:keepNext w:val="1"/>
      </w:pPr>
      <w:r w:rsidDel="00000000" w:rsidR="00000000" w:rsidRPr="00000000">
        <w:rPr>
          <w:rtl w:val="0"/>
        </w:rPr>
        <w:t xml:space="preserve">Below is a summary of the vulnerabilities discovered during the assessment, ranked in order of risk as determined.</w:t>
      </w:r>
    </w:p>
    <w:tbl>
      <w:tblPr>
        <w:tblStyle w:val="Table6"/>
        <w:tblW w:w="9600.0" w:type="dxa"/>
        <w:jc w:val="left"/>
        <w:tblInd w:w="-40.0" w:type="dxa"/>
        <w:tblBorders>
          <w:top w:color="4ebc22" w:space="0" w:sz="8" w:val="single"/>
          <w:left w:color="4ebc22" w:space="0" w:sz="8" w:val="single"/>
          <w:bottom w:color="4ebc22" w:space="0" w:sz="8" w:val="single"/>
          <w:right w:color="4ebc22" w:space="0" w:sz="8" w:val="single"/>
          <w:insideH w:color="4ebc22" w:space="0" w:sz="8" w:val="single"/>
          <w:insideV w:color="4ebc22" w:space="0" w:sz="8" w:val="single"/>
        </w:tblBorders>
        <w:tblLayout w:type="fixed"/>
        <w:tblLook w:val="0000"/>
      </w:tblPr>
      <w:tblGrid>
        <w:gridCol w:w="4845"/>
        <w:gridCol w:w="1470"/>
        <w:gridCol w:w="1770"/>
        <w:gridCol w:w="1515"/>
        <w:tblGridChange w:id="0">
          <w:tblGrid>
            <w:gridCol w:w="4845"/>
            <w:gridCol w:w="1470"/>
            <w:gridCol w:w="1770"/>
            <w:gridCol w:w="1515"/>
          </w:tblGrid>
        </w:tblGridChange>
      </w:tblGrid>
      <w:tr>
        <w:trPr>
          <w:cantSplit w:val="1"/>
          <w:trHeight w:val="286" w:hRule="atLeast"/>
          <w:tblHeader w:val="0"/>
        </w:trPr>
        <w:tc>
          <w:tcPr>
            <w:tcBorders>
              <w:top w:color="000000" w:space="0" w:sz="0" w:val="nil"/>
              <w:left w:color="000000" w:space="0" w:sz="0" w:val="nil"/>
              <w:bottom w:color="eafde3" w:space="0" w:sz="8" w:val="single"/>
              <w:right w:color="000000" w:space="0" w:sz="0" w:val="nil"/>
            </w:tcBorders>
            <w:shd w:fill="4CC51F" w:val="clear" w:color="auto"/>
            <w:tcMar>
              <w:top w:w="43.2" w:type="dxa"/>
              <w:left w:w="43.2" w:type="dxa"/>
              <w:bottom w:w="43.2" w:type="dxa"/>
              <w:right w:w="43.2" w:type="dxa"/>
            </w:tcMar>
          </w:tcPr>
          <w:p w:rsidR="00000000" w:rsidDel="00000000" w:rsidP="00000000" w:rsidRDefault="00000000" w:rsidRPr="00000000" w14:paraId="000000CF">
            <w:pPr>
              <w:spacing w:after="20" w:before="20" w:line="276" w:lineRule="auto"/>
              <w:ind w:left="10" w:firstLine="0"/>
              <w:jc w:val="center"/>
              <w:rPr>
                <w:b w:val="1"/>
                <w:bCs w:val="1"/>
              </w:rPr>
              <w:keepNext w:val="1"/>
            </w:pPr>
            <w:r w:rsidDel="00000000" w:rsidR="00000000" w:rsidRPr="00000000">
              <w:rPr>
                <w:b w:val="1"/>
                <w:bCs w:val="1"/>
                <w:color w:val="FFFFFF"/>
                <w:rtl w:val="0"/>
              </w:rPr>
              <w:t xml:space="preserve">Vulnerability</w:t>
            </w:r>
            <w:r w:rsidDel="00000000" w:rsidR="00000000" w:rsidRPr="00000000">
              <w:rPr>
                <w:rtl w:val="0"/>
                <w:color w:val="FFFFFF"/>
              </w:rPr>
            </w:r>
          </w:p>
        </w:tc>
        <w:tc>
          <w:tcPr>
            <w:tcBorders>
              <w:top w:color="000000" w:space="0" w:sz="0" w:val="nil"/>
              <w:left w:color="000000" w:space="0" w:sz="0" w:val="nil"/>
              <w:bottom w:color="eafde3" w:space="0" w:sz="8" w:val="single"/>
              <w:right w:color="000000" w:space="0" w:sz="0" w:val="nil"/>
            </w:tcBorders>
            <w:shd w:fill="4CC51F" w:val="clear" w:color="auto"/>
            <w:tcMar>
              <w:top w:w="43.2" w:type="dxa"/>
              <w:left w:w="43.2" w:type="dxa"/>
              <w:bottom w:w="43.2" w:type="dxa"/>
              <w:right w:w="43.2" w:type="dxa"/>
            </w:tcMar>
          </w:tcPr>
          <w:p w:rsidR="00000000" w:rsidDel="00000000" w:rsidP="00000000" w:rsidRDefault="00000000" w:rsidRPr="00000000" w14:paraId="000000D0">
            <w:pPr>
              <w:spacing w:after="20" w:before="20" w:line="276" w:lineRule="auto"/>
              <w:ind w:left="20" w:firstLine="0"/>
              <w:jc w:val="center"/>
              <w:rPr>
                <w:b w:val="1"/>
                <w:bCs w:val="1"/>
              </w:rPr>
              <w:keepNext w:val="1"/>
            </w:pPr>
            <w:r w:rsidDel="00000000" w:rsidR="00000000" w:rsidRPr="00000000">
              <w:rPr>
                <w:b w:val="1"/>
                <w:bCs w:val="1"/>
                <w:color w:val="FFFFFF"/>
                <w:rtl w:val="0"/>
              </w:rPr>
              <w:t xml:space="preserve">Risk</w:t>
            </w:r>
            <w:r w:rsidDel="00000000" w:rsidR="00000000" w:rsidRPr="00000000">
              <w:rPr>
                <w:rtl w:val="0"/>
                <w:color w:val="FFFFFF"/>
              </w:rPr>
            </w:r>
          </w:p>
        </w:tc>
      </w:tr>
      <w:tr>
        <w:trPr>
          <w:cantSplit w:val="1"/>
          <w:trHeight w:val="259" w:hRule="atLeast"/>
          <w:tblHeader w:val="0"/>
        </w:trPr>
        <w:tc>
          <w:tcPr>
            <w:tcBorders>
              <w:top w:color="eafde3" w:space="0" w:sz="8" w:val="single"/>
              <w:left w:color="eafde3" w:space="0" w:sz="8" w:val="single"/>
              <w:bottom w:color="eafde3" w:space="0" w:sz="8" w:val="single"/>
              <w:right w:color="eafde3" w:space="0" w:sz="8" w:val="single"/>
            </w:tcBorders>
            <w:shd w:fill="E2F3DA" w:val="clear" w:color="auto"/>
            <w:tcMar>
              <w:top w:w="43.2" w:type="dxa"/>
              <w:left w:w="43.2" w:type="dxa"/>
              <w:bottom w:w="43.2" w:type="dxa"/>
              <w:right w:w="43.2" w:type="dxa"/>
            </w:tcMar>
          </w:tcPr>
          <w:p w:rsidR="00000000" w:rsidDel="00000000" w:rsidP="00000000" w:rsidRDefault="00000000" w:rsidRPr="00000000" w14:paraId="000000D3">
            <w:pPr>
              <w:spacing w:after="20" w:before="20" w:line="276" w:lineRule="auto"/>
              <w:ind w:left="10" w:firstLine="0"/>
              <w:jc w:val="left"/>
              <w:rPr>
                <w:b w:val="1"/>
                <w:bCs w:val="1"/>
              </w:rPr>
              <w:keepNext w:val="1"/>
            </w:pPr>
            <w:r w:rsidDel="00000000" w:rsidR="00000000" w:rsidRPr="00000000">
              <w:rPr>
                <w:b w:val="1"/>
                <w:bCs w:val="1"/>
                <w:rtl w:val="0"/>
              </w:rPr>
              <w:t xml:space="preserve">Privilege Escalation via Unrestricted API Endpoint</w:t>
            </w:r>
          </w:p>
        </w:tc>
        <w:tc>
          <w:tcPr>
            <w:tcBorders>
              <w:top w:color="eafde3" w:space="0" w:sz="8" w:val="single"/>
              <w:left w:color="eafde3" w:space="0" w:sz="8" w:val="single"/>
              <w:bottom w:color="eafde3" w:space="0" w:sz="8" w:val="single"/>
              <w:right w:color="eafde3" w:space="0" w:sz="8" w:val="single"/>
            </w:tcBorders>
            <w:shd w:fill="FF0000" w:val="clear"/>
            <w:tcMar>
              <w:top w:w="43.2" w:type="dxa"/>
              <w:left w:w="43.2" w:type="dxa"/>
              <w:bottom w:w="43.2" w:type="dxa"/>
              <w:right w:w="43.2" w:type="dxa"/>
            </w:tcMar>
          </w:tcPr>
          <w:p w:rsidR="00000000" w:rsidDel="00000000" w:rsidP="00000000" w:rsidRDefault="00000000" w:rsidRPr="00000000" w14:paraId="000000D4">
            <w:pPr>
              <w:spacing w:after="20" w:before="20" w:line="276" w:lineRule="auto"/>
              <w:ind w:left="20" w:firstLine="0"/>
              <w:jc w:val="center"/>
              <w:rPr>
                <w:b w:val="1"/>
                <w:bCs w:val="1"/>
              </w:rPr>
              <w:keepNext w:val="1"/>
            </w:pPr>
            <w:r w:rsidDel="00000000" w:rsidR="00000000" w:rsidRPr="00000000">
              <w:rPr>
                <w:b w:val="1"/>
                <w:bCs w:val="1"/>
                <w:rtl w:val="0"/>
              </w:rPr>
              <w:t xml:space="preserve">High</w:t>
            </w:r>
          </w:p>
        </w:tc>
      </w:tr>
    </w:tbl>
    <w:p w:rsidR="00000000" w:rsidDel="00000000" w:rsidP="00000000" w:rsidRDefault="00000000" w:rsidRPr="00000000" w14:paraId="00000102">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23ckvvd" w:id="23"/>
      <w:bookmarkEnd w:id="23"/>
      <w:r w:rsidDel="00000000" w:rsidR="00000000" w:rsidRPr="00000000">
        <w:rPr>
          <w:rtl w:val="0"/>
        </w:rPr>
        <w:t xml:space="preserve">Detailed Vulnerabilities</w:t>
      </w:r>
    </w:p>
    <w:p>
      <w:r>
        <w:br w:type="page"/>
      </w:r>
    </w:p>
    <w:p w:rsidR="00000000" w:rsidDel="00000000" w:rsidP="00000000" w:rsidRDefault="00000000" w:rsidRPr="00000000" w14:paraId="00000103">
      <w:pPr>
        <w:pStyle w:val="Heading2"/>
        <w:tabs>
          <w:tab w:val="right" w:leader="none" w:pos="9360"/>
          <w:tab w:val="right" w:leader="none" w:pos="9360"/>
          <w:tab w:val="right" w:leader="none" w:pos="9360"/>
          <w:tab w:val="right" w:leader="none" w:pos="9360"/>
          <w:tab w:val="right" w:leader="none" w:pos="9360"/>
          <w:tab w:val="right" w:leader="none" w:pos="9360"/>
        </w:tabs>
        <w:rPr>
          <w:smallCaps w:val="1"/>
          <w:color w:val="000000"/>
          <w:sz w:val="32"/>
          <w:szCs w:val="32"/>
        </w:rPr>
      </w:pPr>
      <w:bookmarkStart w:colFirst="0" w:colLast="0" w:name="_heading=h.5cxcshn96858" w:id="24"/>
      <w:bookmarkEnd w:id="24"/>
      <w:r w:rsidDel="00000000" w:rsidR="00000000" w:rsidRPr="00000000">
        <w:rPr>
          <w:sz w:val="24"/>
          <w:szCs w:val="24"/>
          <w:rtl w:val="0"/>
        </w:rPr>
        <w:t xml:space="preserve">Privilege Escalation via Unrestricted API Endpoint</w:t>
      </w:r>
      <w:r w:rsidDel="00000000" w:rsidR="00000000" w:rsidRPr="00000000">
        <w:rPr>
          <w:rtl w:val="0"/>
        </w:rPr>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Risk:</w:t>
      </w:r>
      <w:r>
        <w:rPr>
          <w:color w:val="000000"/>
        </w:rPr>
        <w:t xml:space="preserve"> </w:t>
      </w:r>
      <w:r>
        <w:rPr>
          <w:b w:val="1"/>
          <w:bCs w:val="1"/>
          <w:color w:val="FF0000"/>
        </w:rPr>
        <w:t xml:space="preserve">High</w:t>
      </w:r>
    </w:p>
    <w:p w:rsidR="00000000" w:rsidDel="00000000" w:rsidP="00000000" w:rsidRDefault="00000000" w:rsidRPr="00000000" w14:paraId="00000105">
      <w:pPr>
        <w:widowControl w:val="1"/>
        <w:tabs>
          <w:tab w:val="right" w:leader="none" w:pos="9360"/>
        </w:tabs>
        <w:spacing w:after="120" w:before="200" w:line="240" w:lineRule="auto"/>
        <w:ind w:right="288"/>
        <w:jc w:val="left"/>
        <w:rPr>
          <w:b w:val="1"/>
          <w:bCs w:val="1"/>
        </w:rPr>
      </w:pPr>
      <w:r w:rsidDel="00000000" w:rsidR="00000000" w:rsidRPr="00000000">
        <w:rPr>
          <w:b w:val="1"/>
          <w:bCs w:val="1"/>
          <w:rtl w:val="0"/>
        </w:rPr>
        <w:t xml:space="preserve">Description:</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color w:val="000000"/>
        </w:rPr>
        <w:t xml:space="preserve">A privilege escalation vulnerability exists where a standard user can escalate their account privileges to administrative rights. This is achieved by sending a crafted PATCH request to the '/api/user/update' endpoint. This flaw allows a lower-privileged user, such as a 'manager' role, to bypass intended access controls and perform actions reserved for higher-privileged roles, potentially leading to unauthorized administrative access, user creation, or critical system setting alterations.</w:t>
      </w:r>
      <w:r>
        <w:rPr>
          <w:color w:val="000000"/>
        </w:rPr>
        <w:t xml:space="preserve"/>
      </w:r>
      <w:r>
        <w:rPr>
          <w:color w:val="000000"/>
        </w:rPr>
        <w:t xml:space="preserve"/>
      </w:r>
    </w:p>
    <w:p w:rsidR="00000000" w:rsidDel="00000000" w:rsidP="00000000" w:rsidRDefault="00000000" w:rsidRPr="00000000" w14:paraId="00000107">
      <w:pPr>
        <w:tabs>
          <w:tab w:val="right" w:leader="none" w:pos="9360"/>
        </w:tabs>
        <w:rPr>
          <w:b w:val="1"/>
          <w:bCs w:val="1"/>
        </w:rPr>
      </w:pPr>
      <w:r w:rsidDel="00000000" w:rsidR="00000000" w:rsidRPr="00000000">
        <w:rPr>
          <w:b w:val="1"/>
          <w:bCs w:val="1"/>
          <w:rtl w:val="0"/>
        </w:rPr>
        <w:t xml:space="preserve">Affected URL:</w:t>
      </w:r>
    </w:p>
    <w:p w:rsidR="00000000" w:rsidDel="00000000" w:rsidP="00000000" w:rsidRDefault="00000000" w:rsidRPr="00000000" w14:paraId="00000108">
      <w:pPr>
        <w:numPr>
          <w:ilvl w:val="0"/>
          <w:numId w:val="16"/>
        </w:numPr>
        <w:tabs>
          <w:tab w:val="right" w:leader="none" w:pos="9360"/>
        </w:tabs>
        <w:ind w:left="720" w:hanging="360"/>
        <w:rPr/>
      </w:pPr>
      <w:r>
        <w:rPr>
          <w:color w:val="1155CC"/>
          <w:u w:val="single"/>
        </w:rPr>
        <w:t xml:space="preserve">https://test.com/api/user/update</w:t>
      </w:r>
    </w:p>
    <w:p w:rsidR="00000000" w:rsidDel="00000000" w:rsidP="00000000" w:rsidRDefault="00000000" w:rsidRPr="00000000" w14:paraId="0000010A">
      <w:pPr>
        <w:widowControl w:val="1"/>
        <w:tabs>
          <w:tab w:val="right" w:leader="none" w:pos="9360"/>
        </w:tabs>
        <w:spacing w:after="120" w:before="0" w:line="240" w:lineRule="auto"/>
        <w:ind w:right="288"/>
        <w:rPr>
          <w:b w:val="1"/>
          <w:bCs w:val="1"/>
        </w:rPr>
      </w:pPr>
      <w:r w:rsidDel="00000000" w:rsidR="00000000" w:rsidRPr="00000000">
        <w:rPr>
          <w:b w:val="1"/>
          <w:bCs w:val="1"/>
          <w:rtl w:val="0"/>
        </w:rPr>
        <w:t xml:space="preserve">Impact and Likelihood: </w:t>
      </w:r>
    </w:p>
    <w:p w:rsidR="00000000" w:rsidDel="00000000" w:rsidP="00000000" w:rsidRDefault="00000000" w:rsidRPr="00000000" w14:paraId="0000010B">
      <w:pPr>
        <w:widowControl w:val="1"/>
        <w:numPr>
          <w:ilvl w:val="0"/>
          <w:numId w:val="5"/>
        </w:numPr>
        <w:tabs>
          <w:tab w:val="right" w:leader="none" w:pos="9360"/>
        </w:tabs>
        <w:spacing w:after="0" w:afterAutospacing="0" w:before="0" w:line="240" w:lineRule="auto"/>
        <w:ind w:left="720" w:right="288" w:hanging="360"/>
        <w:rPr/>
      </w:pPr>
      <w:r w:rsidDel="00000000" w:rsidR="00000000" w:rsidRPr="00000000">
        <w:rPr>
          <w:rtl w:val="0"/>
        </w:rPr>
        <w:t xml:space="preserve">Impact:</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color w:val="000000"/>
        </w:rPr>
        <w:t xml:space="preserve">The impact of this privilege escalation is severe. A successful exploitation allows a low-privileged user to gain administrative control over the application. This can lead to unauthorized access to sensitive data, modification or deletion of critical system configurations, creation of new administrative accounts, and complete compromise of the application's integrity and confidentiality. The ability to perform actions reserved for higher-privileged roles poses a significant business and security risk.</w:t>
      </w:r>
      <w:r>
        <w:rPr>
          <w:color w:val="000000"/>
        </w:rPr>
        <w:t xml:space="preserve"/>
      </w:r>
      <w:r>
        <w:rPr>
          <w:color w:val="000000"/>
        </w:rPr>
        <w:t xml:space="preserve"/>
      </w:r>
    </w:p>
    <w:p w:rsidR="00000000" w:rsidDel="00000000" w:rsidP="00000000" w:rsidRDefault="00000000" w:rsidRPr="00000000" w14:paraId="0000010C">
      <w:pPr>
        <w:widowControl w:val="1"/>
        <w:numPr>
          <w:ilvl w:val="0"/>
          <w:numId w:val="5"/>
        </w:numPr>
        <w:tabs>
          <w:tab w:val="right" w:leader="none" w:pos="9360"/>
        </w:tabs>
        <w:spacing w:after="120" w:before="0" w:line="240" w:lineRule="auto"/>
        <w:ind w:left="720" w:right="288" w:hanging="360"/>
        <w:rPr/>
      </w:pPr>
      <w:r w:rsidDel="00000000" w:rsidR="00000000" w:rsidRPr="00000000">
        <w:rPr>
          <w:rtl w:val="0"/>
        </w:rPr>
        <w:t xml:space="preserve">Likelihood:</w:t>
      </w:r>
      <w:r w:rsidDel="00000000" w:rsidR="00000000" w:rsidRPr="00000000">
        <w:rPr>
          <w:rtl w:val="0"/>
        </w:rPr>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color w:val="000000"/>
        </w:rPr>
        <w:t xml:space="preserve">The vulnerability is highly likely to be exploited as it involves sending a crafted PATCH request to a specific API endpoint. An attacker with a standard user account can easily construct and send such a request, given knowledge of the endpoint and the parameters required to modify user roles or privileges. The direct nature of the exploit without complex prerequisites contributes to its high likelihood.</w:t>
      </w:r>
      <w:r>
        <w:rPr>
          <w:color w:val="000000"/>
        </w:rPr>
        <w:t xml:space="preserve"/>
      </w:r>
      <w:r>
        <w:rPr>
          <w:color w:val="000000"/>
        </w:rPr>
        <w:t xml:space="preserve"/>
      </w:r>
    </w:p>
    <w:p w:rsidR="00000000" w:rsidDel="00000000" w:rsidP="00000000" w:rsidRDefault="00000000" w:rsidRPr="00000000" w14:paraId="0000010E">
      <w:pPr>
        <w:tabs>
          <w:tab w:val="right" w:leader="none" w:pos="9360"/>
        </w:tabs>
        <w:rPr>
          <w:b w:val="1"/>
          <w:bCs w:val="1"/>
        </w:rPr>
      </w:pPr>
      <w:r w:rsidDel="00000000" w:rsidR="00000000" w:rsidRPr="00000000">
        <w:rPr>
          <w:b w:val="1"/>
          <w:bCs w:val="1"/>
          <w:rtl w:val="0"/>
        </w:rPr>
        <w:t xml:space="preserve">Steps to Reproduce:</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1:</w:t>
      </w:r>
      <w:r>
        <w:rPr>
          <w:color w:val="000000"/>
        </w:rPr>
        <w:t xml:space="preserve"> Log in to the application with a standard user account (e.g., 'manager' role).</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2:</w:t>
      </w:r>
      <w:r>
        <w:rPr>
          <w:color w:val="000000"/>
        </w:rPr>
        <w:t xml:space="preserve"> Identify the '/api/user/update' endpoint.</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3:</w:t>
      </w:r>
      <w:r>
        <w:rPr>
          <w:color w:val="000000"/>
        </w:rPr>
        <w:t xml:space="preserve"> Craft a PATCH request to the '/api/user/update' endpoint, including parameters designed to modify the user's role or privileges to an administrative level.</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4:</w:t>
      </w:r>
      <w:r>
        <w:rPr>
          <w:color w:val="000000"/>
        </w:rPr>
        <w:t xml:space="preserve"> Send the crafted PATCH request.</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5:</w:t>
      </w:r>
      <w:r>
        <w:rPr>
          <w:color w:val="000000"/>
        </w:rPr>
        <w:t xml:space="preserve"> Verify that the standard user account now possesses elevated administrative privileges.</w:t>
      </w:r>
    </w:p>
    <w:p w:rsidR="00000000" w:rsidDel="00000000" w:rsidP="00000000" w:rsidRDefault="00000000" w:rsidRPr="00000000" w14:paraId="0000011C">
      <w:pPr>
        <w:tabs>
          <w:tab w:val="right" w:leader="none" w:pos="9360"/>
          <w:tab w:val="right" w:leader="none" w:pos="9360"/>
          <w:tab w:val="right" w:leader="none" w:pos="9360"/>
          <w:tab w:val="right" w:leader="none" w:pos="9360"/>
          <w:tab w:val="right" w:leader="none" w:pos="9360"/>
        </w:tabs>
        <w:spacing w:after="240" w:before="0" w:lineRule="auto"/>
        <w:jc w:val="left"/>
        <w:rPr>
          <w:b w:val="1"/>
          <w:bCs w:val="1"/>
        </w:rPr>
      </w:pPr>
      <w:r w:rsidDel="00000000" w:rsidR="00000000" w:rsidRPr="00000000">
        <w:rPr>
          <w:b w:val="1"/>
          <w:bCs w:val="1"/>
          <w:rtl w:val="0"/>
        </w:rPr>
        <w:t xml:space="preserve">Recommendations:</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Implement Robust Access Control:</w:t>
      </w:r>
      <w:r>
        <w:rPr>
          <w:color w:val="000000"/>
        </w:rPr>
        <w:t xml:space="preserve"> Ensure that all API endpoints, especially those modifying user roles or sensitive data, have strict server-side access control checks. These checks must verify the user's authorization level before processing any requests.</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Principle of Least Privilege:</w:t>
      </w:r>
      <w:r>
        <w:rPr>
          <w:color w:val="000000"/>
        </w:rPr>
        <w:t xml:space="preserve"> Adhere to the principle of least privilege, ensuring that users and system processes are granted only the minimum necessary permissions to perform their intended functions.</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Input Validation and Sanitization:</w:t>
      </w:r>
      <w:r>
        <w:rPr>
          <w:color w:val="000000"/>
        </w:rPr>
        <w:t xml:space="preserve"> Implement comprehensive input validation and sanitization on all incoming requests to prevent malicious data from being processed. Specifically, validate that users cannot modify attributes they are not authorized to change.</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Role-Based Access Control (RBAC):</w:t>
      </w:r>
      <w:r>
        <w:rPr>
          <w:color w:val="000000"/>
        </w:rPr>
        <w:t xml:space="preserve"> Enforce a strong RBAC model where user roles are clearly defined, and permissions are strictly associated with these roles. Any attempt to modify a user's role should require explicit authorization and verification.</w:t>
      </w:r>
    </w:p>
    <w:p w:rsidR="00000000" w:rsidDel="00000000" w:rsidP="00000000" w:rsidRDefault="00000000" w:rsidRPr="00000000" w14:paraId="0000011E">
      <w:pPr>
        <w:tabs>
          <w:tab w:val="right" w:leader="none" w:pos="9360"/>
          <w:tab w:val="right" w:leader="none" w:pos="9360"/>
          <w:tab w:val="right" w:leader="none" w:pos="9360"/>
          <w:tab w:val="right" w:leader="none" w:pos="9360"/>
          <w:tab w:val="right" w:leader="none" w:pos="9360"/>
        </w:tabs>
        <w:spacing w:after="240" w:before="240" w:lineRule="auto"/>
        <w:jc w:val="left"/>
        <w:rPr>
          <w:b w:val="1"/>
          <w:bCs w:val="1"/>
        </w:rPr>
      </w:pPr>
      <w:r w:rsidDel="00000000" w:rsidR="00000000" w:rsidRPr="00000000">
        <w:rPr>
          <w:b w:val="1"/>
          <w:bCs w:val="1"/>
          <w:rtl w:val="0"/>
        </w:rPr>
        <w:t xml:space="preserve">References:</w:t>
      </w:r>
    </w:p>
    <w:p w:rsidR="00000000" w:rsidDel="00000000" w:rsidP="00000000" w:rsidRDefault="00000000" w:rsidRPr="00000000" w14:paraId="00000108">
      <w:pPr>
        <w:numPr>
          <w:ilvl w:val="0"/>
          <w:numId w:val="16"/>
        </w:numPr>
        <w:tabs>
          <w:tab w:val="right" w:leader="none" w:pos="9360"/>
        </w:tabs>
        <w:ind w:left="720" w:hanging="360"/>
        <w:rPr/>
      </w:pPr>
      <w:hyperlink r:id="rId9">
        <w:r w:rsidDel="00000000" w:rsidR="00000000" w:rsidRPr="00000000">
          <w:rPr>
            <w:rtl w:val="0"/>
            <w:u w:val="single"/>
            <w:color w:val="1155CC"/>
          </w:rPr>
          <w:t xml:space="preserve">https://owasp.org/Top10/A01_2021-Broken_Access_Control/</w:t>
        </w:r>
      </w:hyperlink>
      <w:r w:rsidDel="00000000" w:rsidR="00000000" w:rsidRPr="00000000">
        <w:rPr>
          <w:rtl w:val="0"/>
          <w:u w:val="single"/>
          <w:color w:val="1155CC"/>
        </w:rPr>
      </w:r>
    </w:p>
    <w:p w:rsidR="00000000" w:rsidDel="00000000" w:rsidP="00000000" w:rsidRDefault="00000000" w:rsidRPr="00000000" w14:paraId="00000108">
      <w:pPr>
        <w:numPr>
          <w:ilvl w:val="0"/>
          <w:numId w:val="16"/>
        </w:numPr>
        <w:tabs>
          <w:tab w:val="right" w:leader="none" w:pos="9360"/>
        </w:tabs>
        <w:ind w:left="720" w:hanging="360"/>
        <w:rPr/>
      </w:pPr>
      <w:hyperlink r:id="rId9">
        <w:r w:rsidDel="00000000" w:rsidR="00000000" w:rsidRPr="00000000">
          <w:rPr>
            <w:rtl w:val="0"/>
            <w:u w:val="single"/>
            <w:color w:val="1155CC"/>
          </w:rPr>
          <w:t xml:space="preserve">https://cwe.mitre.org/data/definitions/269.html</w:t>
        </w:r>
      </w:hyperlink>
      <w:r w:rsidDel="00000000" w:rsidR="00000000" w:rsidRPr="00000000">
        <w:rPr>
          <w:rtl w:val="0"/>
          <w:u w:val="single"/>
          <w:color w:val="1155CC"/>
        </w:rPr>
      </w:r>
    </w:p>
    <w:p w:rsidR="00000000" w:rsidDel="00000000" w:rsidP="00000000" w:rsidRDefault="00000000" w:rsidRPr="00000000" w14:paraId="000001AF">
      <w:pPr>
        <w:pStyle w:val="Heading1"/>
        <w:pageBreakBefore w:val="1"/>
        <w:tabs>
          <w:tab w:val="right" w:leader="none" w:pos="9360"/>
        </w:tabs>
        <w:spacing w:line="240" w:lineRule="auto"/>
        <w:jc w:val="left"/>
        <w:rPr/>
        <w:keepNext w:val="1"/>
      </w:pPr>
      <w:bookmarkStart w:colFirst="0" w:colLast="0" w:name="_heading=h.7eg1hn8ws84h" w:id="59"/>
      <w:bookmarkEnd w:id="59"/>
      <w:r w:rsidDel="00000000" w:rsidR="00000000" w:rsidRPr="00000000">
        <w:rPr>
          <w:rtl w:val="0"/>
        </w:rPr>
        <w:t xml:space="preserve">Appendix A</w:t>
      </w:r>
      <w:r w:rsidDel="00000000" w:rsidR="00000000" w:rsidRPr="00000000">
        <w:rPr>
          <w:rtl w:val="0"/>
        </w:rPr>
      </w:r>
    </w:p>
    <w:p w:rsidR="00000000" w:rsidDel="00000000" w:rsidP="00000000" w:rsidRDefault="00000000" w:rsidRPr="00000000" w14:paraId="000001B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tbl>
      <w:tblPr>
        <w:tblStyle w:val="Table7"/>
        <w:tblW w:w="935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283"/>
        <w:gridCol w:w="8067"/>
        <w:tblGridChange w:id="0">
          <w:tblGrid>
            <w:gridCol w:w="1283"/>
            <w:gridCol w:w="8067"/>
          </w:tblGrid>
        </w:tblGridChange>
      </w:tblGrid>
      <w:tr>
        <w:trPr>
          <w:cantSplit w:val="1"/>
          <w:trHeight w:val="345" w:hRule="atLeast"/>
          <w:tblHeader w:val="0"/>
        </w:trPr>
        <w:tc>
          <w:tcPr>
            <w:gridSpan w:val="2"/>
            <w:tcMar>
              <w:top w:w="28.799999999999997" w:type="dxa"/>
              <w:left w:w="28.799999999999997" w:type="dxa"/>
              <w:bottom w:w="28.799999999999997" w:type="dxa"/>
              <w:right w:w="28.799999999999997" w:type="dxa"/>
            </w:tcMar>
            <w:shd w:val="clear" w:color="auto" w:fill="4CC51F"/>
          </w:tcPr>
          <w:p w:rsidR="00000000" w:rsidDel="00000000" w:rsidP="00000000" w:rsidRDefault="00000000" w:rsidRPr="00000000" w14:paraId="000001B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color w:val="FFFFFF"/>
              </w:rPr>
              <w:t xml:space="preserve">Penetration Test Scope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Authentication Verification Requirements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Password Security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user-set passwords are at least 12 characters in length</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passwords 64 characters or longer are permitted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passwords can contain spaces and that truncation is not performed. Consecutive multiple spaces MAY optionally be coalesced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Unicode characters are permitted in passwords. A single Unicode code point is considered a character, so 12 emoji or 64 kanji characters should be valid and permitted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users can change their password</w:t>
            </w:r>
          </w:p>
        </w:tc>
      </w:tr>
      <w:tr>
        <w:trPr>
          <w:cantSplit w:val="1"/>
          <w:trHeight w:val="1605" w:hRule="atLeast"/>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1.1.7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passwords submitted during account registration, login, and password change are checked against a set of breached passwords either locally (such as the top 1,000 or 10,000 most common passwords that match the system's password policy) or using an external API. If using an API a zero-knowledge proof or other mechanism should be used to ensure that the plain text password is not sent or used in verifying the breach status of the password. If the password is breached, the application must require the user to set a new non non-breached password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1.1.8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password strength meter is provided to help users set a stronger password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1.1.9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there are no password composition rules limiting the type of characters permitted. There should be no requirement for upper or lower case or numbers or special characters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1.1.10</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"paste" functionality, browser password helpers, and external password managers are permitted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user can choose to either temporarily view the entire masked password, or temporarily view the last typed character of the password on platforms that do not have this as native functionality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General Authenticator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anti-automation controls are effective at mitigating breached credential testing, brute force, and account lockout attacks. Such controls include blocking the most common breached passwords, soft lockouts, rate limiting, CAPTCHA, ever-increasing delays between attempts, IP address restrictions, or risk-based restrictions such as location, first login on a device, recent attempts to unlock the account, or similar. Verify that no more than 100 failed attempts per hour is possible on a single account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use of weak authenticators (such as SMS and email) is limited to secondary verification and transaction approval and not as a replacement for more secure authentication methods. Verify that stronger methods are offered before weak methods, that users are aware of the risks, or that proper measures are in place to limit the risks of account compromise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secure notifications are sent to users after updates to authentication details, such as credential resets, email or address changes, and logging in from unknown or risky locations. The use of push notifications - rather than SMS or email - is preferred, but in the absence of push notifications, SMS or email is acceptable as long as no sensitive information is disclosed in the notification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impersonation resistance against phishing, such as the use of multi-factor authentication, cryptographic devices with intent (such as connected keys with a push to authenticate), or at higher ALL levels, client-side certificates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where a credential service provider (CSP) and the application verifying authentication are separated, mutually authenticated TLS is in place between the two endpoints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V1.3</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Credential Recovery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system-generated initial activation or recovery secret is not sent in clear text to the user</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password hints or knowledge-based authentication (so-called "secret questions") are not present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password credential recovery does not reveal the current password in any way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shared or default accounts are not present (e.g. "root", "admin", or "sa").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an authentication factor is changed or replaced, the user is notified of this event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1.3.6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forgotten passwords, and other recovery paths using a secure recovery mechanism, such as TOTP or another soft token, mobile push, or another offline recovery mechanism</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1.3.7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OTP or multi-factor authentication factors are lost, that evidence of identity proofing is performed at the same level as during enrolment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Single or Multi-Factor One Time Verifier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1.4.1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time-based OTPs have a defined lifetime before expiring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1.4.2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symmetric keys used to verify submitted OTPs are highly protected, such as by using a hardware security module or secure operating system-based key storage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1.4.3</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time-based OTP can be used only once within the validity period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1.4.4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a time-based multi-factor OTP token is re-used during the validity period, it is logged and rejected with secure notifications being sent to the holder of the device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Session Management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Fundamental Session Management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never reveals session tokens in URL parameters or error messages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generates a new session token on user authentication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session tokens possess at least 64 bits of entropy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only stores session tokens in the browser using secure methods such as appropriately secured cookies or HTML 5 session storage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Session Logout and Timeout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logout and expiration invalidate the session token, such that the back button or a downstream relying party does not resume an authenticated session, including across relying parties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If authenticators permit users to remain logged in, verify that re-authentication occurs periodically both when actively used or after an idle period. (C6) 30 days 12 hours or 30 minutes of inactivity, 2FA optional 12 hours or 15 minutes of inactivity, with 2FA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terminates all other active sessions after a successful password change and that this is effective across the application, federated login (if present), and any relying parties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2.2.4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users are able to view and log out of any or all currently active sessions and devices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Cookie-based Session Management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cookie-based session tokens have the 'Secure' attribute set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cookie-based session tokens have the 'HttpOnly' attribute set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cookie-based session tokens utilize the 'SameSite' attribute to limit exposure to cross-site request forgery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cookie-based session tokens use "__Host-" prefix (see references) to provide session cookie confidentiality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the application is published under a domain name with other applications that set or use session cookies that might override or disclose the session cookies, set the path attribute in cookie-based session tokens using the most precise path possible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Token-based Session Management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2.4.2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uses session tokens rather than static API secrets and keys, except with legacy implementations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2.4.3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stateless session tokens use digital signatures, encryption, and other countermeasures to protect against tampering, enveloping, replay, null cipher, and key substitution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V3</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Access Control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V3.1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Operation Level Access Control</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3.1.2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or framework enforces a strong anti-CSRF mechanism to protect authenticated functionality, and effective anti-automation or anti-CSRF protects unauthenticated functionality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V4</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Validation, Sanitization, and Encoding Verification Requirements Control Objective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V4.1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Input Validation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has defenses against HTTP parameter pollution attacks, particularly if the application framework makes no distinction about the source of request parameters (GET, POST, cookies, headers, or environment variables)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frameworks protect against mass parameter assignment attacks, or that the application has countermeasures to protect against unsafe parameter assignment, such as marking fields private or similar</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input (HTML form fields, REST requests, URL parameters, HTTP headers, cookies, batch files, RSS feeds, etc) is validated using positive validation (whitelisting)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structured data is strongly typed and validated against a defined schema including allowed characters, length and pattern (e.g. credit card numbers or telephone, or validating that two related fields are reasonable, such as checking that suburb and zip/postcode match)</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URL redirects and forwards only allow whitelisted destinations, or show a warning when redirecting to potentially untrusted content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4.1.6</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untrusted HTML input from WYSIWYG editors or similar is properly sanitized with an HTML sanitizer library or framework feature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4.1.7</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unstructured data is sanitized to enforce safety measures such as allowed characters and length</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4.1.8</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sanitizes user input before passing to mail systems to protect against SMTP or IMAP injection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4.1.9</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avoids the use of eval() or other dynamic code execution features. Where there is no alternative, any user input being included must be sanitized or sandboxed before being executed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4.1.10</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template injection attacks by ensuring that any user input being included is sanitized or sandboxed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SSRF attacks, by validating or sanitizing untrusted data or HTTP file metadata, such as filenames and URL input fields, using whitelisting of protocols, domains, paths, and ports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4.1.12</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sanitizes, disables, or sandboxes user-supplied SVG scriptable content, especially as they relate to XSS resulting from inline scripts, and foreign Objects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4.1.13</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sanitizes, disables, or sandboxes user-supplied scriptable or expression template language content, such as Markdown, CSS or XSL stylesheets, BBCode, or similar</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V4.2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Output encoding and Injection Prevention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0">
            <w:pPr>
              <w:tabs>
                <w:tab w:val="right" w:leader="none" w:pos="9360"/>
                <w:tab w:val="right" w:leader="none" w:pos="9360"/>
                <w:tab w:val="right" w:leader="none" w:pos="9360"/>
                <w:tab w:val="right" w:leader="none" w:pos="9360"/>
                <w:tab w:val="right" w:leader="none" w:pos="9360"/>
                <w:tab w:val="right" w:leader="none" w:pos="9360"/>
              </w:tabs>
              <w:ind w:firstLine="0"/>
              <w:rPr/>
            </w:pPr>
            <w:sdt>
              <w:sdtPr>
                <w:id w:val="-1004165965"/>
                <w:tag w:val="goog_rdk_2"/>
              </w:sdtPr>
              <w:sdtContent>
                <w:r w:rsidDel="00000000" w:rsidR="00000000" w:rsidRPr="00000000">
                  <w:rPr>
                    <w:rFonts w:ascii="Arial Unicode MS" w:cs="Arial Unicode MS" w:eastAsia="Arial Unicode MS" w:hAnsi="Arial Unicode MS"/>
                    <w:rtl w:val="0"/>
                  </w:rPr>
                  <w:t xml:space="preserve">Verify that output encoding is relevant for the interpreter and context required. For example, use encoders specifically for HTML values, HTML attributes, JavaScript, URL Parameters, HTTP headers, SMTP, and others as the context requires, especially from untrusted inputs (e.g. names with Unicode or apostrophes, such as ねこ or O'Hara). </w:t>
                </w:r>
              </w:sdtContent>
            </w:sdt>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output encoding preserves the user's chosen character set and locale, such that any Unicode character point is valid and safely handled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context-aware, preferably automated - or at worst, manual - output escaping protects against reflected, stored, and DOM-based XSS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data selection or database queries (e.g. SQL, HQL, ORM, NoSQL) use parameterized queries, ORMs, entity frameworks, or are otherwise protected from database injection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where parameterized or safer mechanisms are not present, context-specific output encoding is used to protect against injection attacks, such as the use of SQL escaping to protect against SQL injection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4.2.6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projects against JavaScript or JSON injection attacks, including for eval attacks, remote JavaScript includes, CSP bypasses, DOM XSS, and JavaScript expression evaluation.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4.2.7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LDAP Injection vulnerabilities, or that specific security controls to prevent LDAP Injection have been implemented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4.2.8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OS command injection and that operating system calls use parameterized OS queries or use contextual command line output encoding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4.2.9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Local File Inclusion (LFI) or Remote File Inclusion (RFI) attacks.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4.2.10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XPath injection or XML injection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V4.3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Deserialization Prevention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4.3.1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serialized objects use integrity checks or are encrypted to prevent hostile object creation or data tampering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4.3.2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correctly restricts XML parsers to only use the most restrictive configuration possible and to ensure that unsafe features such as resolving external entities are disabled to prevent testE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4.3.3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deserialization of untrusted data is avoided or is protected in both custom code and third-party libraries (such as JSON, XML and YAML parsers)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4.3.4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when parsing JSON in browsers or JavaScript-based backends, JSON.parse is used to parse the JSON document. Do not use eval() to parse JSON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V5</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Error Handling and Logging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V5.1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Error Handling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5.1.1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generic message is shown when an unexpected or security sensitive error occurs, potentially with a unique ID which support personnel can use to investigate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V6</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Data Protection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V6.1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Sensitive Private Data</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6.1.1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sensitive data is sent to the server in the HTTP message body or headers, and that query string parameters from any HTTP verb do not contain sensitive data</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V7</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Communications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V7.1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Communications Security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7.1.1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secured TLS is used for all client connectivity, and does not fall back to insecure or unencrypted protocols.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7.1.2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using online or up-to-date TLS testing tools that only strong algorithms, ciphers, and protocols are enabled, with the strongest algorithms and ciphers set as preferred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7.1.3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old versions of SSL and TLS protocols, algorithms, ciphers, and configurations are disabled, such as SSLv2, SSLv3, or TLS 1.0 and TLS 1.1. The latest version of TLS should be the preferred cipher suite</w:t>
            </w:r>
          </w:p>
          <w:p w:rsidR="00000000" w:rsidDel="00000000" w:rsidP="00000000" w:rsidRDefault="00000000" w:rsidRPr="00000000" w14:paraId="0000027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27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V8</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Business Logic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will only process business logic flows for the same user in sequential step order and without skipping steps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will only process business logic flows with all steps being processed in realistic human time, i.e. transactions are not submitted too quickly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has appropriate limits for specific business actions or transactions which are correctly enforced on a per-user basis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has sufficient anti-automation controls to detect and protect against data exfiltration, excessive business logic requests, excessive file uploads, or denial of service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has business logic limits or validation to protect against likely business risks or threats, identified using threat modeling or similar methodologies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8.1.6</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Tested for IDOR’s vulnerabilities which would allow other users to retrieve any kind of sensitive information like api key, tokens etc.</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8.1.7</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Verified Privilege Escalation vulnerabilities which could allow low privilege users to perform arbitrary operations leading potential account takeovers.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8.1.8</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Verified Privilege Escalation vulnerabilities which could allow users to perform CRUD Operations on behalf of victim users.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8.1.9</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Checked for Information Disclosure vulnerabilities via IDORs which could result in users PII Disclosure (PII).</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8.1.10</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Checked for Broken Access Control issues via browsed forcing.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8.1.11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Checked for Mass Assignment vulnerability which could allow attackers to gain extra privileges.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V9</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File and Resources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V9.1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File Upload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9.1.1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will not accept large files that could fill up storage or cause a denial of service attack</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V9.2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File Integrity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9.2.1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files obtained from untrusted sources are validated to be of expected type based on the file's content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V10</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API and Web Service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V10.1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Generic Web Service Security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application components use the same encodings and parsers to avoid parsing attacks that exploit different URI or file parsing behavior that could be used in SSRF and RFI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access to administration and management functions is limited to authorized administrators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API URLs do not expose sensitive information, such as the API key, session tokens, etc</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authorization decisions are made at both the URI, enforced by programmatic or declarative security at the controller or router, and at the resource level, enforced by model-based permissions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requests containing unexpected or missing content types are rejected with appropriate headers (HTTP response status 406 Unacceptable or 415 Unsupported Media Type)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V10.2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RESTful Web Service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Configuration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Dependency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components are up to date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unneeded features, documentation, samples, configurations are removed, such as sample applications, platform documentation, and default or example users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application assets, such as JavaScript libraries, CSS stylesheets or web fonts, are hosted externally on a content delivery network (CDN) or external provider, Subresource Integrity (SRI) is used to validate the integrity of the asset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Unintended Security Disclosure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web or application server and framework error messages are configured to deliver user-actionable, customized responses to eliminate any unintended security disclosures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web or application server and application framework debug modes are disabled in production to eliminate debug features, developer consoles, and unintended security disclosures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HTTP headers or any part of the HTTP response do not expose detailed version information of system components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HTTP Security Headers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every HTTP response contains a content type header specifying a safe character set (e.g., UTF-8, ISO 8859-1).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API responses contain Content-Disposition: attachment; filename="api.json" (or other appropriate filename for the content type).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content security policy (CSPv2) is in place that helps mitigate impact of XSS attacks like HTML, DOM, JSON, and JavaScript injection vulnerabilities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responses contain X-Content-Type-Options: nosniff</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HTTP Strict Transport Security headers are included on all responses and for all subdomains, such as Strict-Transport-Security: max-age=15724800; include subdomains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11.3.6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suitable "Referrer-Policy" header is included, such as "no-referrer" or "same-origin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11.3.7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suitable X-Frame-Options or Content-Security-Policy: frame ancestors header is in use for sites where content should not be embedded in a third-party site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V11.4</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Validate HTTP Request Header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server only accepts the HTTP methods in use by the application or API, including pre-flight OPTIONS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supplied Origin header is not used for authentication or access control decisions, as the Origin header can easily be changed by an attacker</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D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cross-domain resource sharing (CORS) Access-Control-AllowOrigin header uses a strict white list of trusted domains to match against and does not support the "null" origin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D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D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HTTP headers added by a trusted proxy or SSO devices, such as a bearer token, are authenticated by the application</w:t>
            </w:r>
          </w:p>
        </w:tc>
      </w:tr>
    </w:tbl>
    <w:sectPr>
      <w:headerReference r:id="rId29" w:type="default"/>
      <w:headerReference r:id="rId30" w:type="first"/>
      <w:headerReference r:id="rId31" w:type="even"/>
      <w:footerReference r:id="rId32" w:type="default"/>
      <w:footerReference r:id="rId33" w:type="first"/>
      <w:footerReference r:id="rId34" w:type="even"/>
      <w:pgSz w:h="15840" w:w="12240" w:orient="portrait"/>
      <w:pgMar w:bottom="709" w:top="1440" w:left="1440" w:right="1440" w:header="0" w:footer="576"/>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Verdana"/>
  <w:font w:name="Arial Unicode MS"/>
  <w:font w:name="Courier New"/>
  <w:font w:name="Roboto Black">
    <w:embedBold w:fontKey="{00000000-0000-0000-0000-000000000000}" r:id="rId1" w:subsetted="0"/>
    <w:embedBoldItalic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Roboto Medium">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Noto Sans Symbols">
    <w:embedRegular w:fontKey="{00000000-0000-0000-0000-000000000000}" r:id="rId11" w:subsetted="0"/>
    <w:embedBold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2D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-812799</wp:posOffset>
              </wp:positionH>
              <wp:positionV relativeFrom="paragraph">
                <wp:posOffset>241300</wp:posOffset>
              </wp:positionV>
              <wp:extent cx="5476938" cy="182999"/>
              <wp:effectExtent b="0" l="0" r="0" t="0"/>
              <wp:wrapNone/>
              <wp:docPr id="1823659469" name=""/>
              <a:graphic>
                <a:graphicData uri="http://schemas.microsoft.com/office/word/2010/wordprocessingGroup">
                  <wpg:wgp>
                    <wpg:cNvGrpSpPr/>
                    <wpg:grpSpPr>
                      <a:xfrm>
                        <a:off x="2607525" y="3688500"/>
                        <a:ext cx="5476938" cy="182999"/>
                        <a:chOff x="2607525" y="3688500"/>
                        <a:chExt cx="5476950" cy="183000"/>
                      </a:xfrm>
                    </wpg:grpSpPr>
                    <wpg:grpSp>
                      <wpg:cNvGrpSpPr/>
                      <wpg:grpSpPr>
                        <a:xfrm>
                          <a:off x="2607531" y="3688501"/>
                          <a:ext cx="5476938" cy="182999"/>
                          <a:chOff x="2607525" y="3688500"/>
                          <a:chExt cx="5476950" cy="183000"/>
                        </a:xfrm>
                      </wpg:grpSpPr>
                      <wps:wsp>
                        <wps:cNvSpPr/>
                        <wps:cNvPr id="3" name="Shape 3"/>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19" name="Shape 19"/>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21" name="Shape 21"/>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23" name="Shape 23"/>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25" name="Shape 25"/>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flipH="1">
                                    <a:off x="2607530" y="3688501"/>
                                    <a:ext cx="5476939" cy="182999"/>
                                    <a:chOff x="0" y="0"/>
                                    <a:chExt cx="5476939" cy="182999"/>
                                  </a:xfrm>
                                </wpg:grpSpPr>
                                <wps:wsp>
                                  <wps:cNvSpPr/>
                                  <wps:cNvPr id="27" name="Shape 27"/>
                                  <wps:spPr>
                                    <a:xfrm>
                                      <a:off x="0" y="0"/>
                                      <a:ext cx="5476925" cy="182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 name="Shape 28"/>
                                  <wps:spPr>
                                    <a:xfrm rot="-5400000">
                                      <a:off x="-537" y="537"/>
                                      <a:ext cx="182880" cy="181805"/>
                                    </a:xfrm>
                                    <a:custGeom>
                                      <a:rect b="b" l="l" r="r" t="t"/>
                                      <a:pathLst>
                                        <a:path extrusionOk="0" h="296190" w="297942">
                                          <a:moveTo>
                                            <a:pt x="149819" y="0"/>
                                          </a:moveTo>
                                          <a:cubicBezTo>
                                            <a:pt x="191572" y="0"/>
                                            <a:pt x="226697" y="14249"/>
                                            <a:pt x="255195" y="42747"/>
                                          </a:cubicBezTo>
                                          <a:cubicBezTo>
                                            <a:pt x="283693" y="71245"/>
                                            <a:pt x="297942" y="106352"/>
                                            <a:pt x="297942" y="148068"/>
                                          </a:cubicBezTo>
                                          <a:cubicBezTo>
                                            <a:pt x="297942" y="189655"/>
                                            <a:pt x="283652" y="224739"/>
                                            <a:pt x="255072" y="253320"/>
                                          </a:cubicBezTo>
                                          <a:cubicBezTo>
                                            <a:pt x="226492" y="281900"/>
                                            <a:pt x="191408" y="296190"/>
                                            <a:pt x="149819" y="296190"/>
                                          </a:cubicBezTo>
                                          <a:cubicBezTo>
                                            <a:pt x="108323" y="296190"/>
                                            <a:pt x="72979" y="281918"/>
                                            <a:pt x="43788" y="253374"/>
                                          </a:cubicBezTo>
                                          <a:cubicBezTo>
                                            <a:pt x="14596" y="224831"/>
                                            <a:pt x="0" y="189728"/>
                                            <a:pt x="0" y="148068"/>
                                          </a:cubicBezTo>
                                          <a:cubicBezTo>
                                            <a:pt x="0" y="106279"/>
                                            <a:pt x="14554" y="71154"/>
                                            <a:pt x="43664" y="42693"/>
                                          </a:cubicBezTo>
                                          <a:cubicBezTo>
                                            <a:pt x="72774" y="14231"/>
                                            <a:pt x="108159" y="0"/>
                                            <a:pt x="149819" y="0"/>
                                          </a:cubicBezTo>
                                          <a:close/>
                                        </a:path>
                                      </a:pathLst>
                                    </a:custGeom>
                                    <a:gradFill>
                                      <a:gsLst>
                                        <a:gs pos="0">
                                          <a:srgbClr val="58EE21"/>
                                        </a:gs>
                                        <a:gs pos="81000">
                                          <a:srgbClr val="3A8C19"/>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rot="5400000">
                                      <a:off x="2779877" y="-2514063"/>
                                      <a:ext cx="182880" cy="5211243"/>
                                    </a:xfrm>
                                    <a:custGeom>
                                      <a:rect b="b" l="l" r="r" t="t"/>
                                      <a:pathLst>
                                        <a:path extrusionOk="0" h="5211243" w="226088">
                                          <a:moveTo>
                                            <a:pt x="3" y="5111179"/>
                                          </a:moveTo>
                                          <a:lnTo>
                                            <a:pt x="3" y="4989325"/>
                                          </a:lnTo>
                                          <a:lnTo>
                                            <a:pt x="226088" y="4989325"/>
                                          </a:lnTo>
                                          <a:lnTo>
                                            <a:pt x="226088" y="5111179"/>
                                          </a:lnTo>
                                          <a:cubicBezTo>
                                            <a:pt x="226088" y="5177889"/>
                                            <a:pt x="188690" y="5211243"/>
                                            <a:pt x="113894" y="5211243"/>
                                          </a:cubicBezTo>
                                          <a:cubicBezTo>
                                            <a:pt x="37967" y="5211243"/>
                                            <a:pt x="3" y="5177889"/>
                                            <a:pt x="3" y="5111179"/>
                                          </a:cubicBezTo>
                                          <a:close/>
                                          <a:moveTo>
                                            <a:pt x="1" y="298450"/>
                                          </a:moveTo>
                                          <a:lnTo>
                                            <a:pt x="1" y="98310"/>
                                          </a:lnTo>
                                          <a:cubicBezTo>
                                            <a:pt x="1" y="32770"/>
                                            <a:pt x="37965" y="0"/>
                                            <a:pt x="113893" y="0"/>
                                          </a:cubicBezTo>
                                          <a:cubicBezTo>
                                            <a:pt x="188689" y="0"/>
                                            <a:pt x="226087" y="32770"/>
                                            <a:pt x="226087" y="98310"/>
                                          </a:cubicBezTo>
                                          <a:lnTo>
                                            <a:pt x="226087" y="298450"/>
                                          </a:lnTo>
                                          <a:close/>
                                          <a:moveTo>
                                            <a:pt x="0" y="4989324"/>
                                          </a:moveTo>
                                          <a:lnTo>
                                            <a:pt x="0" y="298452"/>
                                          </a:lnTo>
                                          <a:lnTo>
                                            <a:pt x="226087" y="298452"/>
                                          </a:lnTo>
                                          <a:lnTo>
                                            <a:pt x="226085" y="4989324"/>
                                          </a:lnTo>
                                          <a:close/>
                                        </a:path>
                                      </a:pathLst>
                                    </a:custGeom>
                                    <a:gradFill>
                                      <a:gsLst>
                                        <a:gs pos="0">
                                          <a:srgbClr val="58EE21"/>
                                        </a:gs>
                                        <a:gs pos="65000">
                                          <a:schemeClr val="accent1"/>
                                        </a:gs>
                                        <a:gs pos="83000">
                                          <a:schemeClr val="accent1"/>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-812799</wp:posOffset>
              </wp:positionH>
              <wp:positionV relativeFrom="paragraph">
                <wp:posOffset>241300</wp:posOffset>
              </wp:positionV>
              <wp:extent cx="5476938" cy="182999"/>
              <wp:effectExtent b="0" l="0" r="0" t="0"/>
              <wp:wrapNone/>
              <wp:docPr id="1823659469"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5476938" cy="182999"/>
                      </a:xfrm>
                      <a:prstGeom prst="rect"/>
                      <a:ln/>
                    </pic:spPr>
                  </pic:pic>
                </a:graphicData>
              </a:graphic>
            </wp:anchor>
          </w:drawing>
        </mc:Fallback>
      </mc:AlternateContent>
    </w:r>
  </w:p>
  <w:p w:rsidR="00000000" w:rsidDel="00000000" w:rsidP="00000000" w:rsidRDefault="00000000" w:rsidRPr="00000000" w14:paraId="000002DA">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2160" w:right="0" w:firstLine="0"/>
      <w:jc w:val="righ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B">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C">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2D5">
    <w:pPr>
      <w:tabs>
        <w:tab w:val="right" w:leader="none" w:pos="9360"/>
        <w:tab w:val="right" w:leader="none" w:pos="9360"/>
        <w:tab w:val="right" w:leader="none" w:pos="9360"/>
        <w:tab w:val="right" w:leader="none" w:pos="9360"/>
        <w:tab w:val="right" w:leader="none" w:pos="9360"/>
        <w:tab w:val="right" w:leader="none" w:pos="9360"/>
      </w:tabs>
      <w:ind w:firstLine="0"/>
      <w:rPr>
        <w:rFonts w:ascii="Calibri" w:cs="Calibri" w:eastAsia="Calibri" w:hAnsi="Calibri"/>
        <w:b w:val="1"/>
        <w:bCs w:val="1"/>
      </w:rPr>
    </w:pPr>
    <w:r w:rsidDel="00000000" w:rsidR="00000000" w:rsidRPr="00000000">
      <w:rPr>
        <w:rFonts w:ascii="Calibri" w:cs="Calibri" w:eastAsia="Calibri" w:hAnsi="Calibri"/>
        <w:b w:val="1"/>
        <w:bCs w:val="1"/>
      </w:rPr>
      <w:drawing>
        <wp:anchor allowOverlap="1" behindDoc="0" distB="0" distT="0" distL="114300" distR="114300" hidden="0" layoutInCell="1" locked="0" relativeHeight="0" simplePos="0">
          <wp:simplePos x="0" y="0"/>
          <wp:positionH relativeFrom="margin">
            <wp:posOffset>-528314</wp:posOffset>
          </wp:positionH>
          <wp:positionV relativeFrom="page">
            <wp:posOffset>365718</wp:posOffset>
          </wp:positionV>
          <wp:extent cx="1741805" cy="368935"/>
          <wp:effectExtent b="0" l="0" r="0" t="0"/>
          <wp:wrapNone/>
          <wp:docPr id="182365947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741805" cy="368935"/>
                  </a:xfrm>
                  <a:prstGeom prst="rect"/>
                  <a:ln/>
                </pic:spPr>
              </pic:pic>
            </a:graphicData>
          </a:graphic>
        </wp:anchor>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1308100</wp:posOffset>
              </wp:positionH>
              <wp:positionV relativeFrom="paragraph">
                <wp:posOffset>177800</wp:posOffset>
              </wp:positionV>
              <wp:extent cx="5476938" cy="182999"/>
              <wp:effectExtent b="0" l="0" r="0" t="0"/>
              <wp:wrapNone/>
              <wp:docPr id="1823659467" name=""/>
              <a:graphic>
                <a:graphicData uri="http://schemas.microsoft.com/office/word/2010/wordprocessingGroup">
                  <wpg:wgp>
                    <wpg:cNvGrpSpPr/>
                    <wpg:grpSpPr>
                      <a:xfrm>
                        <a:off x="2607525" y="3688500"/>
                        <a:ext cx="5476938" cy="182999"/>
                        <a:chOff x="2607525" y="3688500"/>
                        <a:chExt cx="5476950" cy="183000"/>
                      </a:xfrm>
                    </wpg:grpSpPr>
                    <wpg:grpSp>
                      <wpg:cNvGrpSpPr/>
                      <wpg:grpSpPr>
                        <a:xfrm>
                          <a:off x="2607531" y="3688501"/>
                          <a:ext cx="5476938" cy="182999"/>
                          <a:chOff x="2607525" y="3688500"/>
                          <a:chExt cx="5476950" cy="183000"/>
                        </a:xfrm>
                      </wpg:grpSpPr>
                      <wps:wsp>
                        <wps:cNvSpPr/>
                        <wps:cNvPr id="3" name="Shape 3"/>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5" name="Shape 5"/>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7" name="Shape 7"/>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9" name="Shape 9"/>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11" name="Shape 11"/>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9" cy="182999"/>
                                    <a:chOff x="0" y="0"/>
                                    <a:chExt cx="5476939" cy="182999"/>
                                  </a:xfrm>
                                </wpg:grpSpPr>
                                <wps:wsp>
                                  <wps:cNvSpPr/>
                                  <wps:cNvPr id="13" name="Shape 13"/>
                                  <wps:spPr>
                                    <a:xfrm>
                                      <a:off x="0" y="0"/>
                                      <a:ext cx="5476925" cy="182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rot="-5400000">
                                      <a:off x="-537" y="537"/>
                                      <a:ext cx="182880" cy="181805"/>
                                    </a:xfrm>
                                    <a:custGeom>
                                      <a:rect b="b" l="l" r="r" t="t"/>
                                      <a:pathLst>
                                        <a:path extrusionOk="0" h="296190" w="297942">
                                          <a:moveTo>
                                            <a:pt x="149819" y="0"/>
                                          </a:moveTo>
                                          <a:cubicBezTo>
                                            <a:pt x="191572" y="0"/>
                                            <a:pt x="226697" y="14249"/>
                                            <a:pt x="255195" y="42747"/>
                                          </a:cubicBezTo>
                                          <a:cubicBezTo>
                                            <a:pt x="283693" y="71245"/>
                                            <a:pt x="297942" y="106352"/>
                                            <a:pt x="297942" y="148068"/>
                                          </a:cubicBezTo>
                                          <a:cubicBezTo>
                                            <a:pt x="297942" y="189655"/>
                                            <a:pt x="283652" y="224739"/>
                                            <a:pt x="255072" y="253320"/>
                                          </a:cubicBezTo>
                                          <a:cubicBezTo>
                                            <a:pt x="226492" y="281900"/>
                                            <a:pt x="191408" y="296190"/>
                                            <a:pt x="149819" y="296190"/>
                                          </a:cubicBezTo>
                                          <a:cubicBezTo>
                                            <a:pt x="108323" y="296190"/>
                                            <a:pt x="72979" y="281918"/>
                                            <a:pt x="43788" y="253374"/>
                                          </a:cubicBezTo>
                                          <a:cubicBezTo>
                                            <a:pt x="14596" y="224831"/>
                                            <a:pt x="0" y="189728"/>
                                            <a:pt x="0" y="148068"/>
                                          </a:cubicBezTo>
                                          <a:cubicBezTo>
                                            <a:pt x="0" y="106279"/>
                                            <a:pt x="14554" y="71154"/>
                                            <a:pt x="43664" y="42693"/>
                                          </a:cubicBezTo>
                                          <a:cubicBezTo>
                                            <a:pt x="72774" y="14231"/>
                                            <a:pt x="108159" y="0"/>
                                            <a:pt x="149819" y="0"/>
                                          </a:cubicBezTo>
                                          <a:close/>
                                        </a:path>
                                      </a:pathLst>
                                    </a:custGeom>
                                    <a:gradFill>
                                      <a:gsLst>
                                        <a:gs pos="0">
                                          <a:srgbClr val="58EE21"/>
                                        </a:gs>
                                        <a:gs pos="81000">
                                          <a:srgbClr val="3A8C19"/>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rot="5400000">
                                      <a:off x="2779877" y="-2514063"/>
                                      <a:ext cx="182880" cy="5211243"/>
                                    </a:xfrm>
                                    <a:custGeom>
                                      <a:rect b="b" l="l" r="r" t="t"/>
                                      <a:pathLst>
                                        <a:path extrusionOk="0" h="5211243" w="226088">
                                          <a:moveTo>
                                            <a:pt x="3" y="5111179"/>
                                          </a:moveTo>
                                          <a:lnTo>
                                            <a:pt x="3" y="4989325"/>
                                          </a:lnTo>
                                          <a:lnTo>
                                            <a:pt x="226088" y="4989325"/>
                                          </a:lnTo>
                                          <a:lnTo>
                                            <a:pt x="226088" y="5111179"/>
                                          </a:lnTo>
                                          <a:cubicBezTo>
                                            <a:pt x="226088" y="5177889"/>
                                            <a:pt x="188690" y="5211243"/>
                                            <a:pt x="113894" y="5211243"/>
                                          </a:cubicBezTo>
                                          <a:cubicBezTo>
                                            <a:pt x="37967" y="5211243"/>
                                            <a:pt x="3" y="5177889"/>
                                            <a:pt x="3" y="5111179"/>
                                          </a:cubicBezTo>
                                          <a:close/>
                                          <a:moveTo>
                                            <a:pt x="1" y="298450"/>
                                          </a:moveTo>
                                          <a:lnTo>
                                            <a:pt x="1" y="98310"/>
                                          </a:lnTo>
                                          <a:cubicBezTo>
                                            <a:pt x="1" y="32770"/>
                                            <a:pt x="37965" y="0"/>
                                            <a:pt x="113893" y="0"/>
                                          </a:cubicBezTo>
                                          <a:cubicBezTo>
                                            <a:pt x="188689" y="0"/>
                                            <a:pt x="226087" y="32770"/>
                                            <a:pt x="226087" y="98310"/>
                                          </a:cubicBezTo>
                                          <a:lnTo>
                                            <a:pt x="226087" y="298450"/>
                                          </a:lnTo>
                                          <a:close/>
                                          <a:moveTo>
                                            <a:pt x="0" y="4989324"/>
                                          </a:moveTo>
                                          <a:lnTo>
                                            <a:pt x="0" y="298452"/>
                                          </a:lnTo>
                                          <a:lnTo>
                                            <a:pt x="226087" y="298452"/>
                                          </a:lnTo>
                                          <a:lnTo>
                                            <a:pt x="226085" y="4989324"/>
                                          </a:lnTo>
                                          <a:close/>
                                        </a:path>
                                      </a:pathLst>
                                    </a:custGeom>
                                    <a:gradFill>
                                      <a:gsLst>
                                        <a:gs pos="0">
                                          <a:srgbClr val="58EE21"/>
                                        </a:gs>
                                        <a:gs pos="65000">
                                          <a:schemeClr val="accent1"/>
                                        </a:gs>
                                        <a:gs pos="83000">
                                          <a:schemeClr val="accent1"/>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1308100</wp:posOffset>
              </wp:positionH>
              <wp:positionV relativeFrom="paragraph">
                <wp:posOffset>177800</wp:posOffset>
              </wp:positionV>
              <wp:extent cx="5476938" cy="182999"/>
              <wp:effectExtent b="0" l="0" r="0" t="0"/>
              <wp:wrapNone/>
              <wp:docPr id="1823659467" name="image12.png"/>
              <a:graphic>
                <a:graphicData uri="http://schemas.openxmlformats.org/drawingml/2006/picture">
                  <pic:pic>
                    <pic:nvPicPr>
                      <pic:cNvPr id="0" name="image12.png"/>
                      <pic:cNvPicPr preferRelativeResize="0"/>
                    </pic:nvPicPr>
                    <pic:blipFill>
                      <a:blip r:embed="rId2"/>
                      <a:srcRect/>
                      <a:stretch>
                        <a:fillRect/>
                      </a:stretch>
                    </pic:blipFill>
                    <pic:spPr>
                      <a:xfrm>
                        <a:off x="0" y="0"/>
                        <a:ext cx="5476938" cy="182999"/>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6">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Pr>
      <w:drawing>
        <wp:anchor allowOverlap="1" behindDoc="0" distB="114300" distT="114300" distL="114300" distR="114300" hidden="0" layoutInCell="1" locked="0" relativeHeight="0" simplePos="0">
          <wp:simplePos x="0" y="0"/>
          <wp:positionH relativeFrom="page">
            <wp:posOffset>0</wp:posOffset>
          </wp:positionH>
          <wp:positionV relativeFrom="page">
            <wp:posOffset>19050</wp:posOffset>
          </wp:positionV>
          <wp:extent cx="7777163" cy="6287507"/>
          <wp:effectExtent b="0" l="0" r="0" t="0"/>
          <wp:wrapNone/>
          <wp:docPr id="1823659470"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7777163" cy="6287507"/>
                  </a:xfrm>
                  <a:prstGeom prst="rect"/>
                  <a:ln/>
                </pic:spPr>
              </pic:pic>
            </a:graphicData>
          </a:graphic>
        </wp:anchor>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7">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Pr>
      <w:pict>
        <v:shape id="PowerPlusWaterMarkObject1" style="position:absolute;width:492.08157480314964pt;height:169.77031496062992pt;rotation:315;z-index:-503316481;mso-position-horizontal-relative:margin;mso-position-horizontal:center;mso-position-vertical-relative:margin;mso-position-vertical:center;" fillcolor="#e8eaed" stroked="f" type="#_x0000_t136">
          <v:fill angle="0" opacity="65536f"/>
          <v:textpath fitshape="t" string="DRAFT" style="font-family:&amp;quot;Arial&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900" w:hanging="360"/>
      </w:pPr>
      <w:rPr>
        <w:rFonts w:ascii="Noto Sans Symbols" w:cs="Noto Sans Symbols" w:eastAsia="Noto Sans Symbols" w:hAnsi="Noto Sans Symbols"/>
        <w:color w:val="4ebc22"/>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0">
    <w:lvl w:ilvl="0">
      <w:start w:val="1"/>
      <w:numFmt w:val="bullet"/>
      <w:lvlText w:val="●"/>
      <w:lvlJc w:val="left"/>
      <w:pPr>
        <w:ind w:left="0" w:hanging="360"/>
      </w:pPr>
      <w:rPr>
        <w:rFonts w:ascii="Noto Sans Symbols" w:cs="Noto Sans Symbols" w:eastAsia="Noto Sans Symbols" w:hAnsi="Noto Sans Symbols"/>
        <w:color w:val="4ebc22"/>
      </w:rPr>
    </w:lvl>
    <w:lvl w:ilvl="1">
      <w:start w:val="1"/>
      <w:numFmt w:val="bullet"/>
      <w:lvlText w:val="o"/>
      <w:lvlJc w:val="left"/>
      <w:pPr>
        <w:ind w:left="720" w:hanging="360"/>
      </w:pPr>
      <w:rPr>
        <w:rFonts w:ascii="Courier New" w:cs="Courier New" w:eastAsia="Courier New" w:hAnsi="Courier New"/>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2160" w:hanging="360"/>
      </w:pPr>
      <w:rPr>
        <w:rFonts w:ascii="Noto Sans Symbols" w:cs="Noto Sans Symbols" w:eastAsia="Noto Sans Symbols" w:hAnsi="Noto Sans Symbols"/>
      </w:rPr>
    </w:lvl>
    <w:lvl w:ilvl="4">
      <w:start w:val="1"/>
      <w:numFmt w:val="bullet"/>
      <w:lvlText w:val="o"/>
      <w:lvlJc w:val="left"/>
      <w:pPr>
        <w:ind w:left="2880" w:hanging="360"/>
      </w:pPr>
      <w:rPr>
        <w:rFonts w:ascii="Courier New" w:cs="Courier New" w:eastAsia="Courier New" w:hAnsi="Courier New"/>
      </w:rPr>
    </w:lvl>
    <w:lvl w:ilvl="5">
      <w:start w:val="1"/>
      <w:numFmt w:val="bullet"/>
      <w:lvlText w:val="▪"/>
      <w:lvlJc w:val="left"/>
      <w:pPr>
        <w:ind w:left="3600" w:hanging="360"/>
      </w:pPr>
      <w:rPr>
        <w:rFonts w:ascii="Noto Sans Symbols" w:cs="Noto Sans Symbols" w:eastAsia="Noto Sans Symbols" w:hAnsi="Noto Sans Symbols"/>
      </w:rPr>
    </w:lvl>
    <w:lvl w:ilvl="6">
      <w:start w:val="1"/>
      <w:numFmt w:val="bullet"/>
      <w:lvlText w:val="●"/>
      <w:lvlJc w:val="left"/>
      <w:pPr>
        <w:ind w:left="4320" w:hanging="360"/>
      </w:pPr>
      <w:rPr>
        <w:rFonts w:ascii="Noto Sans Symbols" w:cs="Noto Sans Symbols" w:eastAsia="Noto Sans Symbols" w:hAnsi="Noto Sans Symbols"/>
      </w:rPr>
    </w:lvl>
    <w:lvl w:ilvl="7">
      <w:start w:val="1"/>
      <w:numFmt w:val="bullet"/>
      <w:lvlText w:val="o"/>
      <w:lvlJc w:val="left"/>
      <w:pPr>
        <w:ind w:left="5040" w:hanging="360"/>
      </w:pPr>
      <w:rPr>
        <w:rFonts w:ascii="Courier New" w:cs="Courier New" w:eastAsia="Courier New" w:hAnsi="Courier New"/>
      </w:rPr>
    </w:lvl>
    <w:lvl w:ilvl="8">
      <w:start w:val="1"/>
      <w:numFmt w:val="bullet"/>
      <w:lvlText w:val="▪"/>
      <w:lvlJc w:val="left"/>
      <w:pPr>
        <w:ind w:left="576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2"/>
        <w:szCs w:val="22"/>
        <w:lang w:val="en-US"/>
      </w:rPr>
    </w:rPrDefault>
    <w:pPrDefault>
      <w:pPr>
        <w:widowControl w:val="0"/>
        <w:tabs>
          <w:tab w:val="right" w:leader="none" w:pos="9360"/>
        </w:tabs>
        <w:spacing w:before="6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bCs w:val="0"/>
      <w:i w:val="0"/>
      <w:iCs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bCs w:val="1"/>
      <w:i w:val="0"/>
      <w:iCs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bCs w:val="1"/>
      <w:i w:val="0"/>
      <w:iCs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bCs w:val="1"/>
      <w:i w:val="0"/>
      <w:iCs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bCs w:val="0"/>
      <w:i w:val="0"/>
      <w:iCs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left"/>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360" w:right="0" w:hanging="360"/>
      <w:jc w:val="left"/>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left"/>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360" w:right="0" w:hanging="360"/>
      <w:jc w:val="left"/>
    </w:pPr>
    <w:rPr>
      <w:rFonts w:ascii="Calibri" w:cs="Calibri" w:eastAsia="Calibri" w:hAnsi="Calibri"/>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360" w:right="0" w:hanging="360"/>
      <w:jc w:val="left"/>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qFormat w:val="1"/>
    <w:rsid w:val="00E045FA"/>
    <w:pPr>
      <w:suppressAutoHyphens w:val="1"/>
      <w:autoSpaceDN w:val="0"/>
      <w:spacing w:line="276" w:lineRule="auto"/>
      <w:ind w:left="0"/>
      <w:jc w:val="both"/>
      <w:textAlignment w:val="baseline"/>
    </w:pPr>
    <w:rPr>
      <w:rFonts w:asciiTheme="minorHAnsi" w:cstheme="minorHAnsi" w:hAnsiTheme="minorHAnsi"/>
    </w:rPr>
  </w:style>
  <w:style w:type="paragraph" w:styleId="Heading1">
    <w:name w:val="heading 1"/>
    <w:basedOn w:val="Standard"/>
    <w:next w:val="Standard"/>
    <w:autoRedefine w:val="1"/>
    <w:uiPriority w:val="9"/>
    <w:qFormat w:val="1"/>
    <w:rsid w:val="0057257B"/>
    <w:pPr>
      <w:keepNext w:val="1"/>
      <w:keepLines w:val="1"/>
      <w:pBdr>
        <w:bottom w:color="4ebc22" w:space="1" w:sz="18" w:themeColor="accent1" w:val="single"/>
      </w:pBdr>
      <w:spacing w:after="240" w:before="240" w:line="276" w:lineRule="auto"/>
      <w:ind w:left="0"/>
      <w:outlineLvl w:val="0"/>
    </w:pPr>
    <w:rPr>
      <w:rFonts w:asciiTheme="majorHAnsi" w:hAnsiTheme="majorHAnsi"/>
      <w:bCs w:val="1"/>
      <w:color w:val="4ebc22" w:themeColor="accent1"/>
      <w:sz w:val="40"/>
      <w:szCs w:val="48"/>
    </w:rPr>
  </w:style>
  <w:style w:type="paragraph" w:styleId="Heading2">
    <w:name w:val="heading 2"/>
    <w:basedOn w:val="Standard"/>
    <w:autoRedefine w:val="1"/>
    <w:uiPriority w:val="9"/>
    <w:unhideWhenUsed w:val="1"/>
    <w:qFormat w:val="1"/>
    <w:rsid w:val="00F974EE"/>
    <w:pPr>
      <w:spacing w:after="280" w:before="280" w:line="240" w:lineRule="auto"/>
      <w:outlineLvl w:val="1"/>
    </w:pPr>
    <w:rPr>
      <w:rFonts w:cs="Times New Roman" w:eastAsia="Times New Roman" w:asciiTheme="minorHAnsi" w:hAnsiTheme="minorHAnsi"/>
      <w:b w:val="1"/>
      <w:bCs w:val="1"/>
      <w:color w:val="4ebc22" w:themeColor="accent1"/>
      <w:sz w:val="28"/>
      <w:szCs w:val="36"/>
    </w:rPr>
  </w:style>
  <w:style w:type="paragraph" w:styleId="Heading3">
    <w:name w:val="heading 3"/>
    <w:basedOn w:val="Standard"/>
    <w:next w:val="Standard"/>
    <w:uiPriority w:val="9"/>
    <w:unhideWhenUsed w:val="1"/>
    <w:qFormat w:val="1"/>
    <w:rsid w:val="00CB4AE8"/>
    <w:pPr>
      <w:keepNext w:val="1"/>
      <w:keepLines w:val="1"/>
      <w:spacing w:after="0" w:before="40"/>
      <w:ind w:left="720"/>
      <w:outlineLvl w:val="2"/>
    </w:pPr>
    <w:rPr>
      <w:rFonts w:ascii="Calibri Light" w:hAnsi="Calibri Light"/>
      <w:b w:val="1"/>
      <w:color w:val="4ebc22" w:themeColor="accent1"/>
      <w:sz w:val="24"/>
      <w:szCs w:val="24"/>
    </w:rPr>
  </w:style>
  <w:style w:type="paragraph" w:styleId="Heading4">
    <w:name w:val="heading 4"/>
    <w:basedOn w:val="Standard"/>
    <w:uiPriority w:val="9"/>
    <w:unhideWhenUsed w:val="1"/>
    <w:qFormat w:val="1"/>
    <w:rsid w:val="0016447C"/>
    <w:pPr>
      <w:spacing w:after="280" w:before="280" w:line="240" w:lineRule="auto"/>
      <w:outlineLvl w:val="3"/>
    </w:pPr>
    <w:rPr>
      <w:rFonts w:cs="Times New Roman" w:eastAsia="Times New Roman"/>
      <w:b w:val="1"/>
      <w:bCs w:val="1"/>
      <w:szCs w:val="24"/>
    </w:rPr>
  </w:style>
  <w:style w:type="paragraph" w:styleId="Heading5">
    <w:name w:val="heading 5"/>
    <w:basedOn w:val="Standard"/>
    <w:next w:val="Standard"/>
    <w:uiPriority w:val="9"/>
    <w:unhideWhenUsed w:val="1"/>
    <w:qFormat w:val="1"/>
    <w:rsid w:val="00CB4AE8"/>
    <w:pPr>
      <w:keepNext w:val="1"/>
      <w:keepLines w:val="1"/>
      <w:spacing w:after="0" w:before="40" w:line="240" w:lineRule="auto"/>
      <w:outlineLvl w:val="4"/>
    </w:pPr>
    <w:rPr>
      <w:rFonts w:ascii="Calibri Light" w:hAnsi="Calibri Light"/>
      <w:color w:val="4ebc22" w:themeColor="accent1"/>
    </w:rPr>
  </w:style>
  <w:style w:type="paragraph" w:styleId="Heading6">
    <w:name w:val="heading 6"/>
    <w:basedOn w:val="Normal"/>
    <w:next w:val="Normal"/>
    <w:uiPriority w:val="9"/>
    <w:semiHidden w:val="1"/>
    <w:unhideWhenUsed w:val="1"/>
    <w:qFormat w:val="1"/>
    <w:pPr>
      <w:keepNext w:val="1"/>
      <w:keepLines w:val="1"/>
      <w:spacing w:after="40" w:before="200"/>
      <w:outlineLvl w:val="5"/>
    </w:pPr>
    <w:rPr>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sz w:val="72"/>
      <w:szCs w:val="72"/>
    </w:rPr>
  </w:style>
  <w:style w:type="paragraph" w:styleId="Standard" w:customStyle="1">
    <w:name w:val="Standard"/>
    <w:pPr>
      <w:suppressAutoHyphens w:val="1"/>
      <w:autoSpaceDN w:val="0"/>
      <w:spacing w:after="160" w:line="259" w:lineRule="auto"/>
      <w:textAlignment w:val="baseline"/>
    </w:pPr>
  </w:style>
  <w:style w:type="paragraph" w:styleId="Heading" w:customStyle="1">
    <w:name w:val="Heading"/>
    <w:basedOn w:val="Standard"/>
    <w:next w:val="Textbody"/>
    <w:pPr>
      <w:keepNext w:val="1"/>
      <w:spacing w:after="120" w:before="240"/>
    </w:pPr>
    <w:rPr>
      <w:rFonts w:ascii="Liberation Sans" w:cs="Lucida Sans" w:eastAsia="Microsoft YaHei" w:hAnsi="Liberation Sans"/>
      <w:sz w:val="28"/>
      <w:szCs w:val="28"/>
    </w:rPr>
  </w:style>
  <w:style w:type="paragraph" w:styleId="Textbody" w:customStyle="1">
    <w:name w:val="Text body"/>
    <w:basedOn w:val="Standard"/>
    <w:pPr>
      <w:spacing w:after="140" w:line="276" w:lineRule="auto"/>
    </w:pPr>
  </w:style>
  <w:style w:type="paragraph" w:styleId="List">
    <w:name w:val="List"/>
    <w:basedOn w:val="Textbody"/>
    <w:rPr>
      <w:rFonts w:cs="Lucida Sans"/>
    </w:rPr>
  </w:style>
  <w:style w:type="paragraph" w:styleId="Caption">
    <w:name w:val="caption"/>
    <w:basedOn w:val="Standard"/>
    <w:next w:val="Standard"/>
    <w:pPr>
      <w:spacing w:after="200" w:line="240" w:lineRule="auto"/>
    </w:pPr>
    <w:rPr>
      <w:rFonts w:cs="Times New Roman" w:eastAsia="Times New Roman"/>
      <w:i w:val="1"/>
      <w:iCs w:val="1"/>
      <w:color w:val="44546a"/>
      <w:sz w:val="18"/>
      <w:szCs w:val="18"/>
    </w:rPr>
  </w:style>
  <w:style w:type="paragraph" w:styleId="Index" w:customStyle="1">
    <w:name w:val="Index"/>
    <w:basedOn w:val="Standard"/>
    <w:pPr>
      <w:suppressLineNumbers w:val="1"/>
    </w:pPr>
    <w:rPr>
      <w:rFonts w:cs="Lucida Sans"/>
    </w:rPr>
  </w:style>
  <w:style w:type="paragraph" w:styleId="NoSpacing">
    <w:name w:val="No Spacing"/>
    <w:pPr>
      <w:suppressAutoHyphens w:val="1"/>
      <w:autoSpaceDN w:val="0"/>
      <w:textAlignment w:val="baseline"/>
    </w:pPr>
    <w:rPr>
      <w:rFonts w:cs="Times New Roman" w:eastAsia="Times New Roman"/>
      <w:lang w:bidi="en-US"/>
    </w:rPr>
  </w:style>
  <w:style w:type="paragraph" w:styleId="ListParagraph">
    <w:name w:val="List Paragraph"/>
    <w:basedOn w:val="Standard"/>
    <w:qFormat w:val="1"/>
    <w:rsid w:val="00CB4AE8"/>
    <w:pPr>
      <w:numPr>
        <w:numId w:val="2"/>
      </w:numPr>
      <w:spacing w:after="0" w:line="276" w:lineRule="auto"/>
      <w:ind w:left="360"/>
    </w:pPr>
    <w:rPr>
      <w:rFonts w:eastAsia="Times New Roman" w:asciiTheme="minorHAnsi" w:cstheme="minorHAnsi" w:hAnsiTheme="minorHAnsi"/>
      <w:szCs w:val="24"/>
    </w:rPr>
  </w:style>
  <w:style w:type="paragraph" w:styleId="HeaderandFooter" w:customStyle="1">
    <w:name w:val="Header and Footer"/>
    <w:basedOn w:val="Standard"/>
  </w:style>
  <w:style w:type="paragraph" w:styleId="Header">
    <w:name w:val="header"/>
    <w:basedOn w:val="Standard"/>
    <w:uiPriority w:val="99"/>
    <w:pPr>
      <w:tabs>
        <w:tab w:val="center" w:pos="4680"/>
      </w:tabs>
      <w:spacing w:after="0" w:line="240" w:lineRule="auto"/>
    </w:pPr>
  </w:style>
  <w:style w:type="paragraph" w:styleId="Footer">
    <w:name w:val="footer"/>
    <w:basedOn w:val="Standard"/>
    <w:uiPriority w:val="99"/>
    <w:pPr>
      <w:tabs>
        <w:tab w:val="center" w:pos="4680"/>
      </w:tabs>
      <w:spacing w:after="0" w:line="240" w:lineRule="auto"/>
    </w:pPr>
  </w:style>
  <w:style w:type="paragraph" w:styleId="TOCHeading">
    <w:name w:val="TOC Heading"/>
    <w:basedOn w:val="Heading1"/>
    <w:next w:val="Standard"/>
    <w:uiPriority w:val="39"/>
    <w:qFormat w:val="1"/>
  </w:style>
  <w:style w:type="paragraph" w:styleId="Contents1" w:customStyle="1">
    <w:name w:val="Contents 1"/>
    <w:basedOn w:val="Standard"/>
    <w:next w:val="Standard"/>
    <w:autoRedefine w:val="1"/>
    <w:pPr>
      <w:spacing w:after="100"/>
    </w:pPr>
  </w:style>
  <w:style w:type="paragraph" w:styleId="Contents2" w:customStyle="1">
    <w:name w:val="Contents 2"/>
    <w:basedOn w:val="Standard"/>
    <w:next w:val="Standard"/>
    <w:autoRedefine w:val="1"/>
    <w:pPr>
      <w:spacing w:after="100"/>
      <w:ind w:left="220"/>
    </w:pPr>
  </w:style>
  <w:style w:type="paragraph" w:styleId="Contents3" w:customStyle="1">
    <w:name w:val="Contents 3"/>
    <w:basedOn w:val="Standard"/>
    <w:next w:val="Standard"/>
    <w:autoRedefine w:val="1"/>
    <w:pPr>
      <w:spacing w:after="100"/>
      <w:ind w:left="440"/>
    </w:pPr>
  </w:style>
  <w:style w:type="paragraph" w:styleId="CommentText">
    <w:name w:val="annotation text"/>
    <w:basedOn w:val="Standard"/>
    <w:pPr>
      <w:spacing w:line="240" w:lineRule="auto"/>
    </w:pPr>
    <w:rPr>
      <w:sz w:val="20"/>
      <w:szCs w:val="20"/>
    </w:rPr>
  </w:style>
  <w:style w:type="paragraph" w:styleId="BalloonText">
    <w:name w:val="Balloon Text"/>
    <w:basedOn w:val="Standard"/>
    <w:pPr>
      <w:spacing w:after="0" w:line="240" w:lineRule="auto"/>
    </w:pPr>
    <w:rPr>
      <w:rFonts w:ascii="Segoe UI" w:cs="Segoe UI" w:eastAsia="Segoe UI" w:hAnsi="Segoe UI"/>
      <w:sz w:val="18"/>
      <w:szCs w:val="18"/>
    </w:rPr>
  </w:style>
  <w:style w:type="paragraph" w:styleId="CommentSubject">
    <w:name w:val="annotation subject"/>
    <w:basedOn w:val="CommentText"/>
    <w:next w:val="CommentText"/>
    <w:rPr>
      <w:bCs w:val="1"/>
    </w:rPr>
  </w:style>
  <w:style w:type="paragraph" w:styleId="NormalWeb">
    <w:name w:val="Normal (Web)"/>
    <w:basedOn w:val="Standard"/>
    <w:pPr>
      <w:spacing w:after="280" w:before="280" w:line="240" w:lineRule="auto"/>
    </w:pPr>
    <w:rPr>
      <w:rFonts w:ascii="Times New Roman" w:cs="Times New Roman" w:eastAsia="Times New Roman" w:hAnsi="Times New Roman"/>
      <w:sz w:val="24"/>
      <w:szCs w:val="24"/>
    </w:rPr>
  </w:style>
  <w:style w:type="paragraph" w:styleId="Footnote" w:customStyle="1">
    <w:name w:val="Footnote"/>
    <w:basedOn w:val="Standard"/>
    <w:pPr>
      <w:spacing w:after="0" w:line="240" w:lineRule="auto"/>
    </w:pPr>
    <w:rPr>
      <w:sz w:val="20"/>
      <w:szCs w:val="20"/>
    </w:rPr>
  </w:style>
  <w:style w:type="paragraph" w:styleId="Default" w:customStyle="1">
    <w:name w:val="Default"/>
    <w:pPr>
      <w:suppressAutoHyphens w:val="1"/>
      <w:autoSpaceDN w:val="0"/>
      <w:textAlignment w:val="baseline"/>
    </w:pPr>
    <w:rPr>
      <w:color w:val="000000"/>
      <w:sz w:val="24"/>
      <w:szCs w:val="24"/>
    </w:rPr>
  </w:style>
  <w:style w:type="paragraph" w:styleId="HTMLPreformatted">
    <w:name w:val="HTML Preformatted"/>
    <w:basedOn w:val="Standar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paragraph" w:styleId="DocumentMap">
    <w:name w:val="Document Map"/>
    <w:basedOn w:val="Standard"/>
    <w:pPr>
      <w:spacing w:after="0" w:line="240" w:lineRule="auto"/>
    </w:pPr>
    <w:rPr>
      <w:rFonts w:ascii="Tahoma" w:eastAsia="Times New Roman" w:hAnsi="Tahoma"/>
      <w:sz w:val="16"/>
      <w:szCs w:val="16"/>
    </w:rPr>
  </w:style>
  <w:style w:type="paragraph" w:styleId="Contents4" w:customStyle="1">
    <w:name w:val="Contents 4"/>
    <w:basedOn w:val="Standard"/>
    <w:next w:val="Standard"/>
    <w:autoRedefine w:val="1"/>
    <w:pPr>
      <w:spacing w:after="100" w:line="240" w:lineRule="auto"/>
      <w:ind w:left="720"/>
    </w:pPr>
    <w:rPr>
      <w:rFonts w:cs="Times New Roman" w:eastAsia="Times New Roman"/>
      <w:szCs w:val="24"/>
    </w:rPr>
  </w:style>
  <w:style w:type="paragraph" w:styleId="Revision">
    <w:name w:val="Revision"/>
    <w:pPr>
      <w:suppressAutoHyphens w:val="1"/>
      <w:autoSpaceDN w:val="0"/>
      <w:textAlignment w:val="baseline"/>
    </w:pPr>
    <w:rPr>
      <w:rFonts w:ascii="Times New Roman" w:cs="Times New Roman" w:eastAsia="Times New Roman" w:hAnsi="Times New Roman"/>
      <w:sz w:val="24"/>
      <w:szCs w:val="24"/>
    </w:rPr>
  </w:style>
  <w:style w:type="paragraph" w:styleId="Contents5" w:customStyle="1">
    <w:name w:val="Contents 5"/>
    <w:basedOn w:val="Standard"/>
    <w:next w:val="Standard"/>
    <w:autoRedefine w:val="1"/>
    <w:pPr>
      <w:spacing w:after="0" w:line="240" w:lineRule="auto"/>
      <w:ind w:left="880"/>
    </w:pPr>
    <w:rPr>
      <w:sz w:val="18"/>
      <w:szCs w:val="18"/>
    </w:rPr>
  </w:style>
  <w:style w:type="paragraph" w:styleId="Contents6" w:customStyle="1">
    <w:name w:val="Contents 6"/>
    <w:basedOn w:val="Standard"/>
    <w:next w:val="Standard"/>
    <w:autoRedefine w:val="1"/>
    <w:pPr>
      <w:spacing w:after="0" w:line="240" w:lineRule="auto"/>
      <w:ind w:left="1100"/>
    </w:pPr>
    <w:rPr>
      <w:sz w:val="18"/>
      <w:szCs w:val="18"/>
    </w:rPr>
  </w:style>
  <w:style w:type="paragraph" w:styleId="Contents7" w:customStyle="1">
    <w:name w:val="Contents 7"/>
    <w:basedOn w:val="Standard"/>
    <w:next w:val="Standard"/>
    <w:autoRedefine w:val="1"/>
    <w:pPr>
      <w:spacing w:after="0" w:line="240" w:lineRule="auto"/>
      <w:ind w:left="1320"/>
    </w:pPr>
    <w:rPr>
      <w:sz w:val="18"/>
      <w:szCs w:val="18"/>
    </w:rPr>
  </w:style>
  <w:style w:type="paragraph" w:styleId="Contents8" w:customStyle="1">
    <w:name w:val="Contents 8"/>
    <w:basedOn w:val="Standard"/>
    <w:next w:val="Standard"/>
    <w:autoRedefine w:val="1"/>
    <w:pPr>
      <w:spacing w:after="0" w:line="240" w:lineRule="auto"/>
      <w:ind w:left="1540"/>
    </w:pPr>
    <w:rPr>
      <w:sz w:val="18"/>
      <w:szCs w:val="18"/>
    </w:rPr>
  </w:style>
  <w:style w:type="paragraph" w:styleId="Contents9" w:customStyle="1">
    <w:name w:val="Contents 9"/>
    <w:basedOn w:val="Standard"/>
    <w:next w:val="Standard"/>
    <w:autoRedefine w:val="1"/>
    <w:pPr>
      <w:spacing w:after="0" w:line="240" w:lineRule="auto"/>
      <w:ind w:left="1760"/>
    </w:pPr>
    <w:rPr>
      <w:sz w:val="18"/>
      <w:szCs w:val="18"/>
    </w:rPr>
  </w:style>
  <w:style w:type="paragraph" w:styleId="Code" w:customStyle="1">
    <w:name w:val="Code"/>
    <w:basedOn w:val="Standard"/>
    <w:pPr>
      <w:pBdr>
        <w:top w:color="000000" w:space="1" w:sz="4" w:val="single"/>
        <w:left w:color="000000" w:space="4" w:sz="4" w:val="single"/>
        <w:bottom w:color="000000" w:space="1" w:sz="4" w:val="single"/>
        <w:right w:color="000000" w:space="4" w:sz="4" w:val="single"/>
      </w:pBdr>
      <w:shd w:color="auto" w:fill="f2f2f2" w:val="clear"/>
      <w:spacing w:after="0" w:line="240" w:lineRule="auto"/>
      <w:ind w:left="720"/>
    </w:pPr>
    <w:rPr>
      <w:rFonts w:ascii="Courier New" w:cs="Courier New" w:eastAsia="Courier New" w:hAnsi="Courier New"/>
    </w:rPr>
  </w:style>
  <w:style w:type="paragraph" w:styleId="msonormal0" w:customStyle="1">
    <w:name w:val="msonormal"/>
    <w:basedOn w:val="Standard"/>
    <w:pPr>
      <w:spacing w:after="280" w:before="280" w:line="240" w:lineRule="auto"/>
    </w:pPr>
    <w:rPr>
      <w:rFonts w:ascii="Times New Roman" w:cs="Times New Roman" w:eastAsia="Times New Roman" w:hAnsi="Times New Roman"/>
      <w:sz w:val="24"/>
      <w:szCs w:val="24"/>
    </w:rPr>
  </w:style>
  <w:style w:type="paragraph" w:styleId="font0" w:customStyle="1">
    <w:name w:val="font0"/>
    <w:basedOn w:val="Standard"/>
    <w:pPr>
      <w:spacing w:after="280" w:before="280" w:line="240" w:lineRule="auto"/>
    </w:pPr>
    <w:rPr>
      <w:rFonts w:eastAsia="Times New Roman"/>
      <w:color w:val="000000"/>
    </w:rPr>
  </w:style>
  <w:style w:type="paragraph" w:styleId="font5" w:customStyle="1">
    <w:name w:val="font5"/>
    <w:basedOn w:val="Standard"/>
    <w:pPr>
      <w:spacing w:after="280" w:before="280" w:line="240" w:lineRule="auto"/>
    </w:pPr>
    <w:rPr>
      <w:rFonts w:eastAsia="Times New Roman"/>
      <w:bCs w:val="1"/>
      <w:color w:val="000000"/>
    </w:rPr>
  </w:style>
  <w:style w:type="paragraph" w:styleId="font6" w:customStyle="1">
    <w:name w:val="font6"/>
    <w:basedOn w:val="Standard"/>
    <w:pPr>
      <w:spacing w:after="280" w:before="280" w:line="240" w:lineRule="auto"/>
    </w:pPr>
    <w:rPr>
      <w:rFonts w:eastAsia="Times New Roman"/>
      <w:bCs w:val="1"/>
      <w:color w:val="000000"/>
      <w:sz w:val="28"/>
      <w:szCs w:val="28"/>
    </w:rPr>
  </w:style>
  <w:style w:type="paragraph" w:styleId="font7" w:customStyle="1">
    <w:name w:val="font7"/>
    <w:basedOn w:val="Standard"/>
    <w:pPr>
      <w:spacing w:after="280" w:before="280" w:line="240" w:lineRule="auto"/>
    </w:pPr>
    <w:rPr>
      <w:rFonts w:eastAsia="Times New Roman"/>
      <w:color w:val="000000"/>
      <w:sz w:val="24"/>
      <w:szCs w:val="24"/>
    </w:rPr>
  </w:style>
  <w:style w:type="paragraph" w:styleId="font8" w:customStyle="1">
    <w:name w:val="font8"/>
    <w:basedOn w:val="Standard"/>
    <w:pPr>
      <w:spacing w:after="280" w:before="280" w:line="240" w:lineRule="auto"/>
    </w:pPr>
    <w:rPr>
      <w:rFonts w:eastAsia="Times New Roman"/>
      <w:bCs w:val="1"/>
      <w:color w:val="000000"/>
      <w:sz w:val="24"/>
      <w:szCs w:val="24"/>
    </w:rPr>
  </w:style>
  <w:style w:type="paragraph" w:styleId="xl65" w:customStyle="1">
    <w:name w:val="xl65"/>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66" w:customStyle="1">
    <w:name w:val="xl66"/>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67" w:customStyle="1">
    <w:name w:val="xl67"/>
    <w:basedOn w:val="Standard"/>
    <w:pPr>
      <w:spacing w:after="280" w:before="280" w:line="240" w:lineRule="auto"/>
      <w:textAlignment w:val="top"/>
    </w:pPr>
    <w:rPr>
      <w:rFonts w:ascii="Times New Roman" w:cs="Times New Roman" w:eastAsia="Times New Roman" w:hAnsi="Times New Roman"/>
      <w:sz w:val="24"/>
      <w:szCs w:val="24"/>
    </w:rPr>
  </w:style>
  <w:style w:type="paragraph" w:styleId="xl68" w:customStyle="1">
    <w:name w:val="xl68"/>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69" w:customStyle="1">
    <w:name w:val="xl69"/>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70" w:customStyle="1">
    <w:name w:val="xl70"/>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71" w:customStyle="1">
    <w:name w:val="xl71"/>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textAlignment w:val="top"/>
    </w:pPr>
    <w:rPr>
      <w:rFonts w:ascii="Times New Roman" w:cs="Times New Roman" w:eastAsia="Times New Roman" w:hAnsi="Times New Roman"/>
      <w:sz w:val="24"/>
      <w:szCs w:val="24"/>
    </w:rPr>
  </w:style>
  <w:style w:type="paragraph" w:styleId="xl72" w:customStyle="1">
    <w:name w:val="xl72"/>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3" w:customStyle="1">
    <w:name w:val="xl73"/>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pPr>
    <w:rPr>
      <w:rFonts w:ascii="Times New Roman" w:cs="Times New Roman" w:eastAsia="Times New Roman" w:hAnsi="Times New Roman"/>
      <w:bCs w:val="1"/>
      <w:sz w:val="24"/>
      <w:szCs w:val="24"/>
    </w:rPr>
  </w:style>
  <w:style w:type="paragraph" w:styleId="xl74" w:customStyle="1">
    <w:name w:val="xl74"/>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75" w:customStyle="1">
    <w:name w:val="xl75"/>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6" w:customStyle="1">
    <w:name w:val="xl76"/>
    <w:basedOn w:val="Standard"/>
    <w:pPr>
      <w:pBdr>
        <w:top w:color="000000" w:space="0" w:sz="4" w:val="single"/>
        <w:left w:color="000000" w:space="0" w:sz="4" w:val="single"/>
        <w:bottom w:color="000000" w:space="0" w:sz="4" w:val="single"/>
        <w:right w:color="000000" w:space="0" w:sz="4" w:val="single"/>
      </w:pBdr>
      <w:spacing w:after="280" w:before="280" w:line="240" w:lineRule="auto"/>
    </w:pPr>
    <w:rPr>
      <w:rFonts w:ascii="Times New Roman" w:cs="Times New Roman" w:eastAsia="Times New Roman" w:hAnsi="Times New Roman"/>
      <w:sz w:val="24"/>
      <w:szCs w:val="24"/>
    </w:rPr>
  </w:style>
  <w:style w:type="paragraph" w:styleId="xl77" w:customStyle="1">
    <w:name w:val="xl77"/>
    <w:basedOn w:val="Standard"/>
    <w:pPr>
      <w:pBdr>
        <w:top w:color="000000" w:space="0" w:sz="4" w:val="single"/>
        <w:left w:color="000000" w:space="0" w:sz="4" w:val="single"/>
        <w:bottom w:color="000000" w:space="0" w:sz="4" w:val="single"/>
        <w:right w:color="000000" w:space="0" w:sz="4" w:val="single"/>
      </w:pBdr>
      <w:shd w:color="auto" w:fill="e7e6e6"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8" w:customStyle="1">
    <w:name w:val="xl78"/>
    <w:basedOn w:val="Standard"/>
    <w:pPr>
      <w:pBdr>
        <w:top w:color="000000" w:space="0" w:sz="4" w:val="single"/>
        <w:left w:color="000000" w:space="0" w:sz="4" w:val="single"/>
        <w:bottom w:color="000000" w:space="0" w:sz="4" w:val="single"/>
        <w:right w:color="000000" w:space="0" w:sz="4" w:val="single"/>
      </w:pBd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9" w:customStyle="1">
    <w:name w:val="xl79"/>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80" w:customStyle="1">
    <w:name w:val="xl80"/>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81" w:customStyle="1">
    <w:name w:val="xl81"/>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82" w:customStyle="1">
    <w:name w:val="xl82"/>
    <w:basedOn w:val="Standard"/>
    <w:pPr>
      <w:pBdr>
        <w:top w:color="000000" w:space="0" w:sz="4" w:val="single"/>
        <w:left w:color="000000" w:space="0" w:sz="4" w:val="single"/>
        <w:bottom w:color="000000" w:space="0" w:sz="4" w:val="single"/>
        <w:right w:color="000000" w:space="0" w:sz="4" w:val="single"/>
      </w:pBdr>
      <w:shd w:color="auto" w:fill="ffff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83" w:customStyle="1">
    <w:name w:val="xl83"/>
    <w:basedOn w:val="Standard"/>
    <w:pPr>
      <w:pBdr>
        <w:top w:color="000000" w:space="0" w:sz="4" w:val="single"/>
        <w:left w:color="000000" w:space="0" w:sz="4" w:val="single"/>
        <w:bottom w:color="000000" w:space="0" w:sz="4" w:val="single"/>
        <w:right w:color="000000" w:space="0" w:sz="4" w:val="single"/>
      </w:pBdr>
      <w:shd w:color="auto" w:fill="ffffff" w:val="clear"/>
      <w:spacing w:after="280" w:before="280" w:line="240" w:lineRule="auto"/>
      <w:textAlignment w:val="top"/>
    </w:pPr>
    <w:rPr>
      <w:rFonts w:ascii="Times New Roman" w:cs="Times New Roman" w:eastAsia="Times New Roman" w:hAnsi="Times New Roman"/>
      <w:sz w:val="24"/>
      <w:szCs w:val="24"/>
    </w:rPr>
  </w:style>
  <w:style w:type="paragraph" w:styleId="xl84" w:customStyle="1">
    <w:name w:val="xl84"/>
    <w:basedOn w:val="Standard"/>
    <w:pPr>
      <w:pBdr>
        <w:top w:color="000000" w:space="0" w:sz="4" w:val="single"/>
        <w:left w:color="000000" w:space="0" w:sz="4" w:val="single"/>
        <w:bottom w:color="000000" w:space="0" w:sz="4" w:val="single"/>
        <w:right w:color="000000" w:space="0" w:sz="4" w:val="single"/>
      </w:pBdr>
      <w:shd w:color="auto" w:fill="ffff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85" w:customStyle="1">
    <w:name w:val="xl85"/>
    <w:basedOn w:val="Standard"/>
    <w:pPr>
      <w:shd w:color="auto" w:fill="ffffff" w:val="clear"/>
      <w:spacing w:after="280" w:before="280" w:line="240" w:lineRule="auto"/>
    </w:pPr>
    <w:rPr>
      <w:rFonts w:ascii="Times New Roman" w:cs="Times New Roman" w:eastAsia="Times New Roman" w:hAnsi="Times New Roman"/>
      <w:sz w:val="24"/>
      <w:szCs w:val="24"/>
    </w:rPr>
  </w:style>
  <w:style w:type="paragraph" w:styleId="xl86" w:customStyle="1">
    <w:name w:val="xl86"/>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87" w:customStyle="1">
    <w:name w:val="xl87"/>
    <w:basedOn w:val="Standard"/>
    <w:pPr>
      <w:spacing w:after="280" w:before="280" w:line="240" w:lineRule="auto"/>
      <w:textAlignment w:val="top"/>
    </w:pPr>
    <w:rPr>
      <w:rFonts w:ascii="Times New Roman" w:cs="Times New Roman" w:eastAsia="Times New Roman" w:hAnsi="Times New Roman"/>
      <w:sz w:val="24"/>
      <w:szCs w:val="24"/>
    </w:rPr>
  </w:style>
  <w:style w:type="paragraph" w:styleId="xl88" w:customStyle="1">
    <w:name w:val="xl88"/>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89" w:customStyle="1">
    <w:name w:val="xl89"/>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pPr>
    <w:rPr>
      <w:rFonts w:ascii="Times New Roman" w:cs="Times New Roman" w:eastAsia="Times New Roman" w:hAnsi="Times New Roman"/>
      <w:bCs w:val="1"/>
      <w:sz w:val="24"/>
      <w:szCs w:val="24"/>
    </w:rPr>
  </w:style>
  <w:style w:type="paragraph" w:styleId="xl90" w:customStyle="1">
    <w:name w:val="xl90"/>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pPr>
    <w:rPr>
      <w:rFonts w:ascii="Times New Roman" w:cs="Times New Roman" w:eastAsia="Times New Roman" w:hAnsi="Times New Roman"/>
      <w:bCs w:val="1"/>
      <w:sz w:val="24"/>
      <w:szCs w:val="24"/>
    </w:rPr>
  </w:style>
  <w:style w:type="paragraph" w:styleId="xl91" w:customStyle="1">
    <w:name w:val="xl91"/>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pPr>
    <w:rPr>
      <w:rFonts w:ascii="Times New Roman" w:cs="Times New Roman" w:eastAsia="Times New Roman" w:hAnsi="Times New Roman"/>
      <w:bCs w:val="1"/>
      <w:sz w:val="24"/>
      <w:szCs w:val="24"/>
    </w:rPr>
  </w:style>
  <w:style w:type="paragraph" w:styleId="xl92" w:customStyle="1">
    <w:name w:val="xl92"/>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center"/>
    </w:pPr>
    <w:rPr>
      <w:rFonts w:ascii="Times New Roman" w:cs="Times New Roman" w:eastAsia="Times New Roman" w:hAnsi="Times New Roman"/>
      <w:sz w:val="24"/>
      <w:szCs w:val="24"/>
    </w:rPr>
  </w:style>
  <w:style w:type="paragraph" w:styleId="xl93" w:customStyle="1">
    <w:name w:val="xl93"/>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94" w:customStyle="1">
    <w:name w:val="xl94"/>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95" w:customStyle="1">
    <w:name w:val="xl95"/>
    <w:basedOn w:val="Standard"/>
    <w:pPr>
      <w:spacing w:after="280" w:before="280" w:line="240" w:lineRule="auto"/>
      <w:textAlignment w:val="top"/>
    </w:pPr>
    <w:rPr>
      <w:rFonts w:ascii="Times New Roman" w:cs="Times New Roman" w:eastAsia="Times New Roman" w:hAnsi="Times New Roman"/>
      <w:sz w:val="24"/>
      <w:szCs w:val="24"/>
    </w:rPr>
  </w:style>
  <w:style w:type="paragraph" w:styleId="xl96" w:customStyle="1">
    <w:name w:val="xl96"/>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97" w:customStyle="1">
    <w:name w:val="xl97"/>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98" w:customStyle="1">
    <w:name w:val="xl98"/>
    <w:basedOn w:val="Standard"/>
    <w:pPr>
      <w:spacing w:after="280" w:before="280" w:line="240" w:lineRule="auto"/>
      <w:textAlignment w:val="top"/>
    </w:pPr>
    <w:rPr>
      <w:rFonts w:ascii="Times New Roman" w:cs="Times New Roman" w:eastAsia="Times New Roman" w:hAnsi="Times New Roman"/>
      <w:sz w:val="24"/>
      <w:szCs w:val="24"/>
    </w:rPr>
  </w:style>
  <w:style w:type="paragraph" w:styleId="xl99" w:customStyle="1">
    <w:name w:val="xl99"/>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100" w:customStyle="1">
    <w:name w:val="xl100"/>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01" w:customStyle="1">
    <w:name w:val="xl101"/>
    <w:basedOn w:val="Standard"/>
    <w:pPr>
      <w:pBdr>
        <w:top w:color="000000" w:space="0" w:sz="4" w:val="single"/>
        <w:left w:color="000000" w:space="0" w:sz="4" w:val="single"/>
        <w:bottom w:color="000000" w:space="0" w:sz="4" w:val="single"/>
        <w:right w:color="000000" w:space="0" w:sz="4" w:val="single"/>
      </w:pBd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02" w:customStyle="1">
    <w:name w:val="xl102"/>
    <w:basedOn w:val="Standard"/>
    <w:pP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03" w:customStyle="1">
    <w:name w:val="xl103"/>
    <w:basedOn w:val="Standard"/>
    <w:pP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04" w:customStyle="1">
    <w:name w:val="xl104"/>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105" w:customStyle="1">
    <w:name w:val="xl105"/>
    <w:basedOn w:val="Standard"/>
    <w:pPr>
      <w:spacing w:after="280" w:before="280" w:line="240" w:lineRule="auto"/>
      <w:textAlignment w:val="top"/>
    </w:pPr>
    <w:rPr>
      <w:rFonts w:ascii="Times New Roman" w:cs="Times New Roman" w:eastAsia="Times New Roman" w:hAnsi="Times New Roman"/>
      <w:sz w:val="24"/>
      <w:szCs w:val="24"/>
    </w:rPr>
  </w:style>
  <w:style w:type="paragraph" w:styleId="xl106" w:customStyle="1">
    <w:name w:val="xl106"/>
    <w:basedOn w:val="Standard"/>
    <w:pPr>
      <w:spacing w:after="280" w:before="280" w:line="240" w:lineRule="auto"/>
      <w:textAlignment w:val="top"/>
    </w:pPr>
    <w:rPr>
      <w:rFonts w:ascii="Times New Roman" w:cs="Times New Roman" w:eastAsia="Times New Roman" w:hAnsi="Times New Roman"/>
      <w:sz w:val="24"/>
      <w:szCs w:val="24"/>
    </w:rPr>
  </w:style>
  <w:style w:type="paragraph" w:styleId="xl107" w:customStyle="1">
    <w:name w:val="xl107"/>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108" w:customStyle="1">
    <w:name w:val="xl108"/>
    <w:basedOn w:val="Standard"/>
    <w:pPr>
      <w:spacing w:after="280" w:before="280" w:line="240" w:lineRule="auto"/>
      <w:textAlignment w:val="top"/>
    </w:pPr>
    <w:rPr>
      <w:rFonts w:ascii="Times New Roman" w:cs="Times New Roman" w:eastAsia="Times New Roman" w:hAnsi="Times New Roman"/>
      <w:sz w:val="24"/>
      <w:szCs w:val="24"/>
    </w:rPr>
  </w:style>
  <w:style w:type="paragraph" w:styleId="xl109" w:customStyle="1">
    <w:name w:val="xl109"/>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0" w:customStyle="1">
    <w:name w:val="xl110"/>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1" w:customStyle="1">
    <w:name w:val="xl111"/>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2" w:customStyle="1">
    <w:name w:val="xl112"/>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center"/>
    </w:pPr>
    <w:rPr>
      <w:rFonts w:ascii="Times New Roman" w:cs="Times New Roman" w:eastAsia="Times New Roman" w:hAnsi="Times New Roman"/>
      <w:sz w:val="24"/>
      <w:szCs w:val="24"/>
    </w:rPr>
  </w:style>
  <w:style w:type="paragraph" w:styleId="xl113" w:customStyle="1">
    <w:name w:val="xl113"/>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4" w:customStyle="1">
    <w:name w:val="xl114"/>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5" w:customStyle="1">
    <w:name w:val="xl115"/>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6" w:customStyle="1">
    <w:name w:val="xl116"/>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7" w:customStyle="1">
    <w:name w:val="xl117"/>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8" w:customStyle="1">
    <w:name w:val="xl118"/>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119" w:customStyle="1">
    <w:name w:val="xl119"/>
    <w:basedOn w:val="Standard"/>
    <w:pPr>
      <w:shd w:color="auto" w:fill="e7e6e6"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20" w:customStyle="1">
    <w:name w:val="xl120"/>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1" w:customStyle="1">
    <w:name w:val="xl121"/>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center"/>
    </w:pPr>
    <w:rPr>
      <w:rFonts w:ascii="Times New Roman" w:cs="Times New Roman" w:eastAsia="Times New Roman" w:hAnsi="Times New Roman"/>
      <w:sz w:val="24"/>
      <w:szCs w:val="24"/>
    </w:rPr>
  </w:style>
  <w:style w:type="paragraph" w:styleId="xl122" w:customStyle="1">
    <w:name w:val="xl122"/>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23" w:customStyle="1">
    <w:name w:val="xl123"/>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24" w:customStyle="1">
    <w:name w:val="xl124"/>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125" w:customStyle="1">
    <w:name w:val="xl125"/>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6" w:customStyle="1">
    <w:name w:val="xl126"/>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7" w:customStyle="1">
    <w:name w:val="xl127"/>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8" w:customStyle="1">
    <w:name w:val="xl128"/>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9" w:customStyle="1">
    <w:name w:val="xl129"/>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30" w:customStyle="1">
    <w:name w:val="xl130"/>
    <w:basedOn w:val="Standard"/>
    <w:pPr>
      <w:spacing w:after="280" w:before="280" w:line="240" w:lineRule="auto"/>
      <w:textAlignment w:val="center"/>
    </w:pPr>
    <w:rPr>
      <w:rFonts w:ascii="Times New Roman" w:cs="Times New Roman" w:eastAsia="Times New Roman" w:hAnsi="Times New Roman"/>
      <w:sz w:val="24"/>
      <w:szCs w:val="24"/>
    </w:rPr>
  </w:style>
  <w:style w:type="paragraph" w:styleId="Framecontents" w:customStyle="1">
    <w:name w:val="Frame contents"/>
    <w:basedOn w:val="Standard"/>
  </w:style>
  <w:style w:type="paragraph" w:styleId="TableContents" w:customStyle="1">
    <w:name w:val="Table Contents"/>
    <w:basedOn w:val="Standard"/>
    <w:pPr>
      <w:suppressLineNumbers w:val="1"/>
    </w:pPr>
  </w:style>
  <w:style w:type="paragraph" w:styleId="IndexHeading">
    <w:name w:val="index heading"/>
    <w:basedOn w:val="Heading"/>
    <w:pPr>
      <w:suppressLineNumbers w:val="1"/>
    </w:pPr>
    <w:rPr>
      <w:bCs w:val="1"/>
      <w:sz w:val="32"/>
      <w:szCs w:val="32"/>
    </w:rPr>
  </w:style>
  <w:style w:type="paragraph" w:styleId="ContentsHeading" w:customStyle="1">
    <w:name w:val="Contents Heading"/>
    <w:basedOn w:val="IndexHeading"/>
  </w:style>
  <w:style w:type="character" w:styleId="Heading1Char" w:customStyle="1">
    <w:name w:val="Heading 1 Char"/>
    <w:rPr>
      <w:rFonts w:ascii="Calibri Light" w:cs="Tahoma" w:eastAsia="Calibri" w:hAnsi="Calibri Light"/>
      <w:color w:val="2f5496"/>
      <w:sz w:val="32"/>
      <w:szCs w:val="32"/>
    </w:rPr>
  </w:style>
  <w:style w:type="character" w:styleId="Heading2Char" w:customStyle="1">
    <w:name w:val="Heading 2 Char"/>
    <w:rPr>
      <w:rFonts w:ascii="Verdana" w:cs="Times New Roman" w:eastAsia="Times New Roman" w:hAnsi="Verdana"/>
      <w:b w:val="0"/>
      <w:bCs w:val="1"/>
      <w:color w:val="2f5496"/>
      <w:sz w:val="28"/>
      <w:szCs w:val="36"/>
    </w:rPr>
  </w:style>
  <w:style w:type="character" w:styleId="Heading3Char" w:customStyle="1">
    <w:name w:val="Heading 3 Char"/>
    <w:rPr>
      <w:rFonts w:ascii="Calibri Light" w:cs="Tahoma" w:eastAsia="Calibri" w:hAnsi="Calibri Light"/>
      <w:color w:val="1f3763"/>
      <w:sz w:val="24"/>
      <w:szCs w:val="24"/>
    </w:rPr>
  </w:style>
  <w:style w:type="character" w:styleId="Heading5Char" w:customStyle="1">
    <w:name w:val="Heading 5 Char"/>
    <w:rPr>
      <w:rFonts w:ascii="Calibri Light" w:cs="Tahoma" w:eastAsia="Calibri" w:hAnsi="Calibri Light"/>
      <w:color w:val="2f5496"/>
    </w:rPr>
  </w:style>
  <w:style w:type="character" w:styleId="NoSpacingChar" w:customStyle="1">
    <w:name w:val="No Spacing Char"/>
    <w:rPr>
      <w:rFonts w:ascii="Calibri" w:cs="Times New Roman" w:eastAsia="Times New Roman" w:hAnsi="Calibri"/>
      <w:lang w:bidi="en-US"/>
    </w:rPr>
  </w:style>
  <w:style w:type="character" w:styleId="Internetlink" w:customStyle="1">
    <w:name w:val="Internet link"/>
    <w:rPr>
      <w:rFonts w:cs="Times New Roman"/>
      <w:color w:val="0563c1"/>
      <w:u w:val="single"/>
    </w:rPr>
  </w:style>
  <w:style w:type="character" w:styleId="HeaderChar" w:customStyle="1">
    <w:name w:val="Header Char"/>
    <w:basedOn w:val="DefaultParagraphFont"/>
    <w:uiPriority w:val="99"/>
  </w:style>
  <w:style w:type="character" w:styleId="FooterChar" w:customStyle="1">
    <w:name w:val="Footer Char"/>
    <w:basedOn w:val="DefaultParagraphFont"/>
    <w:uiPriority w:val="99"/>
  </w:style>
  <w:style w:type="character" w:styleId="CommentReference">
    <w:name w:val="annotation reference"/>
    <w:rPr>
      <w:sz w:val="16"/>
      <w:szCs w:val="16"/>
    </w:rPr>
  </w:style>
  <w:style w:type="character" w:styleId="CommentTextChar" w:customStyle="1">
    <w:name w:val="Comment Text Char"/>
    <w:rPr>
      <w:sz w:val="20"/>
      <w:szCs w:val="20"/>
    </w:rPr>
  </w:style>
  <w:style w:type="character" w:styleId="BalloonTextChar" w:customStyle="1">
    <w:name w:val="Balloon Text Char"/>
    <w:rPr>
      <w:rFonts w:ascii="Segoe UI" w:cs="Segoe UI" w:eastAsia="Segoe UI" w:hAnsi="Segoe UI"/>
      <w:sz w:val="18"/>
      <w:szCs w:val="18"/>
    </w:rPr>
  </w:style>
  <w:style w:type="character" w:styleId="CommentSubjectChar" w:customStyle="1">
    <w:name w:val="Comment Subject Char"/>
    <w:rPr>
      <w:b w:val="0"/>
      <w:bCs w:val="1"/>
      <w:sz w:val="20"/>
      <w:szCs w:val="20"/>
    </w:rPr>
  </w:style>
  <w:style w:type="character" w:styleId="VisitedInternetLink" w:customStyle="1">
    <w:name w:val="Visited Internet Link"/>
    <w:rPr>
      <w:color w:val="954f72"/>
      <w:u w:val="single"/>
    </w:rPr>
  </w:style>
  <w:style w:type="character" w:styleId="Strong">
    <w:name w:val="Strong"/>
    <w:rPr>
      <w:b w:val="0"/>
      <w:bCs w:val="1"/>
    </w:rPr>
  </w:style>
  <w:style w:type="character" w:styleId="HTMLCode">
    <w:name w:val="HTML Code"/>
    <w:rPr>
      <w:rFonts w:ascii="Courier New" w:cs="Courier New" w:eastAsia="Times New Roman" w:hAnsi="Courier New"/>
      <w:sz w:val="20"/>
      <w:szCs w:val="20"/>
    </w:rPr>
  </w:style>
  <w:style w:type="character" w:styleId="hljs-tag" w:customStyle="1">
    <w:name w:val="hljs-tag"/>
    <w:basedOn w:val="DefaultParagraphFont"/>
  </w:style>
  <w:style w:type="character" w:styleId="hljs-title" w:customStyle="1">
    <w:name w:val="hljs-title"/>
    <w:basedOn w:val="DefaultParagraphFont"/>
  </w:style>
  <w:style w:type="character" w:styleId="hljs-attribute" w:customStyle="1">
    <w:name w:val="hljs-attribute"/>
    <w:basedOn w:val="DefaultParagraphFont"/>
  </w:style>
  <w:style w:type="character" w:styleId="hljs-value" w:customStyle="1">
    <w:name w:val="hljs-value"/>
    <w:basedOn w:val="DefaultParagraphFont"/>
  </w:style>
  <w:style w:type="character" w:styleId="UnresolvedMention1" w:customStyle="1">
    <w:name w:val="Unresolved Mention1"/>
    <w:rPr>
      <w:color w:val="605e5c"/>
      <w:shd w:color="auto" w:fill="e1dfdd" w:val="clear"/>
    </w:rPr>
  </w:style>
  <w:style w:type="character" w:styleId="UnresolvedMention2" w:customStyle="1">
    <w:name w:val="Unresolved Mention2"/>
    <w:rPr>
      <w:color w:val="605e5c"/>
      <w:shd w:color="auto" w:fill="e1dfdd" w:val="clear"/>
    </w:rPr>
  </w:style>
  <w:style w:type="character" w:styleId="FootnoteTextChar" w:customStyle="1">
    <w:name w:val="Footnote Text Char"/>
    <w:rPr>
      <w:sz w:val="20"/>
      <w:szCs w:val="20"/>
    </w:rPr>
  </w:style>
  <w:style w:type="character" w:styleId="FootnoteSymbol" w:customStyle="1">
    <w:name w:val="Footnote Symbol"/>
    <w:rPr>
      <w:position w:val="0"/>
      <w:vertAlign w:val="superscript"/>
    </w:rPr>
  </w:style>
  <w:style w:type="character" w:styleId="Footnoteanchor" w:customStyle="1">
    <w:name w:val="Footnote anchor"/>
    <w:rPr>
      <w:position w:val="0"/>
      <w:vertAlign w:val="superscript"/>
    </w:rPr>
  </w:style>
  <w:style w:type="character" w:styleId="Heading4Char" w:customStyle="1">
    <w:name w:val="Heading 4 Char"/>
    <w:rPr>
      <w:rFonts w:ascii="Calibri" w:cs="Times New Roman" w:eastAsia="Times New Roman" w:hAnsi="Calibri"/>
      <w:b w:val="0"/>
      <w:bCs w:val="1"/>
      <w:szCs w:val="24"/>
    </w:rPr>
  </w:style>
  <w:style w:type="character" w:styleId="HTMLPreformattedChar" w:customStyle="1">
    <w:name w:val="HTML Preformatted Char"/>
    <w:rPr>
      <w:rFonts w:ascii="Courier New" w:cs="Courier New" w:eastAsia="Times New Roman" w:hAnsi="Courier New"/>
      <w:sz w:val="20"/>
      <w:szCs w:val="20"/>
    </w:rPr>
  </w:style>
  <w:style w:type="character" w:styleId="DocumentMapChar" w:customStyle="1">
    <w:name w:val="Document Map Char"/>
    <w:rPr>
      <w:rFonts w:ascii="Tahoma" w:cs="Tahoma" w:eastAsia="Times New Roman" w:hAnsi="Tahoma"/>
      <w:sz w:val="16"/>
      <w:szCs w:val="16"/>
    </w:rPr>
  </w:style>
  <w:style w:type="character" w:styleId="apple-converted-space" w:customStyle="1">
    <w:name w:val="apple-converted-space"/>
    <w:basedOn w:val="DefaultParagraphFont"/>
  </w:style>
  <w:style w:type="character" w:styleId="apple-style-span" w:customStyle="1">
    <w:name w:val="apple-style-span"/>
    <w:basedOn w:val="DefaultParagraphFont"/>
  </w:style>
  <w:style w:type="character" w:styleId="PlaceholderText">
    <w:name w:val="Placeholder Text"/>
    <w:rPr>
      <w:color w:val="808080"/>
    </w:rPr>
  </w:style>
  <w:style w:type="character" w:styleId="CodeChar" w:customStyle="1">
    <w:name w:val="Code Char"/>
    <w:rPr>
      <w:rFonts w:ascii="Courier New" w:cs="Courier New" w:eastAsia="Courier New" w:hAnsi="Courier New"/>
      <w:shd w:color="auto" w:fill="f2f2f2" w:val="clear"/>
    </w:rPr>
  </w:style>
  <w:style w:type="character" w:styleId="Mention1" w:customStyle="1">
    <w:name w:val="Mention1"/>
    <w:rPr>
      <w:color w:val="2b579a"/>
      <w:shd w:color="auto" w:fill="e6e6e6" w:val="clear"/>
    </w:rPr>
  </w:style>
  <w:style w:type="character" w:styleId="Emphasis">
    <w:name w:val="Emphasis"/>
    <w:rPr>
      <w:i w:val="1"/>
      <w:iCs w:val="1"/>
    </w:rPr>
  </w:style>
  <w:style w:type="character" w:styleId="IndexLink" w:customStyle="1">
    <w:name w:val="Index Link"/>
  </w:style>
  <w:style w:type="character" w:styleId="ListLabel1" w:customStyle="1">
    <w:name w:val="ListLabel 1"/>
    <w:rPr>
      <w:rFonts w:cs="Symbol"/>
      <w:color w:val="auto"/>
    </w:rPr>
  </w:style>
  <w:style w:type="character" w:styleId="ListLabel2" w:customStyle="1">
    <w:name w:val="ListLabel 2"/>
    <w:rPr>
      <w:rFonts w:cs="Courier New"/>
    </w:rPr>
  </w:style>
  <w:style w:type="character" w:styleId="ListLabel3" w:customStyle="1">
    <w:name w:val="ListLabel 3"/>
    <w:rPr>
      <w:rFonts w:cs="Wingdings"/>
    </w:rPr>
  </w:style>
  <w:style w:type="character" w:styleId="ListLabel4" w:customStyle="1">
    <w:name w:val="ListLabel 4"/>
    <w:rPr>
      <w:rFonts w:cs="Symbol"/>
    </w:rPr>
  </w:style>
  <w:style w:type="character" w:styleId="ListLabel5" w:customStyle="1">
    <w:name w:val="ListLabel 5"/>
    <w:rPr>
      <w:rFonts w:cs="Courier New"/>
    </w:rPr>
  </w:style>
  <w:style w:type="character" w:styleId="ListLabel6" w:customStyle="1">
    <w:name w:val="ListLabel 6"/>
    <w:rPr>
      <w:rFonts w:cs="Wingdings"/>
    </w:rPr>
  </w:style>
  <w:style w:type="character" w:styleId="ListLabel7" w:customStyle="1">
    <w:name w:val="ListLabel 7"/>
    <w:rPr>
      <w:rFonts w:cs="Symbol"/>
    </w:rPr>
  </w:style>
  <w:style w:type="character" w:styleId="ListLabel8" w:customStyle="1">
    <w:name w:val="ListLabel 8"/>
    <w:rPr>
      <w:rFonts w:cs="Courier New"/>
    </w:rPr>
  </w:style>
  <w:style w:type="character" w:styleId="ListLabel9" w:customStyle="1">
    <w:name w:val="ListLabel 9"/>
    <w:rPr>
      <w:rFonts w:cs="Wingdings"/>
    </w:rPr>
  </w:style>
  <w:style w:type="character" w:styleId="ListLabel10" w:customStyle="1">
    <w:name w:val="ListLabel 10"/>
    <w:rPr>
      <w:rFonts w:cs="Symbol"/>
    </w:rPr>
  </w:style>
  <w:style w:type="character" w:styleId="ListLabel11" w:customStyle="1">
    <w:name w:val="ListLabel 11"/>
    <w:rPr>
      <w:rFonts w:cs="Courier New"/>
    </w:rPr>
  </w:style>
  <w:style w:type="character" w:styleId="ListLabel12" w:customStyle="1">
    <w:name w:val="ListLabel 12"/>
    <w:rPr>
      <w:rFonts w:cs="Wingdings"/>
    </w:rPr>
  </w:style>
  <w:style w:type="character" w:styleId="ListLabel13" w:customStyle="1">
    <w:name w:val="ListLabel 13"/>
    <w:rPr>
      <w:rFonts w:cs="Symbol"/>
    </w:rPr>
  </w:style>
  <w:style w:type="character" w:styleId="ListLabel14" w:customStyle="1">
    <w:name w:val="ListLabel 14"/>
    <w:rPr>
      <w:rFonts w:cs="Courier New"/>
    </w:rPr>
  </w:style>
  <w:style w:type="character" w:styleId="ListLabel15" w:customStyle="1">
    <w:name w:val="ListLabel 15"/>
    <w:rPr>
      <w:rFonts w:cs="Wingdings"/>
    </w:rPr>
  </w:style>
  <w:style w:type="character" w:styleId="ListLabel16" w:customStyle="1">
    <w:name w:val="ListLabel 16"/>
    <w:rPr>
      <w:rFonts w:cs="Symbol"/>
    </w:rPr>
  </w:style>
  <w:style w:type="character" w:styleId="ListLabel17" w:customStyle="1">
    <w:name w:val="ListLabel 17"/>
    <w:rPr>
      <w:rFonts w:cs="Courier New"/>
    </w:rPr>
  </w:style>
  <w:style w:type="character" w:styleId="ListLabel18" w:customStyle="1">
    <w:name w:val="ListLabel 18"/>
    <w:rPr>
      <w:rFonts w:cs="Wingdings"/>
    </w:rPr>
  </w:style>
  <w:style w:type="character" w:styleId="ListLabel19" w:customStyle="1">
    <w:name w:val="ListLabel 19"/>
    <w:rPr>
      <w:rFonts w:cs="Symbol"/>
    </w:rPr>
  </w:style>
  <w:style w:type="character" w:styleId="ListLabel20" w:customStyle="1">
    <w:name w:val="ListLabel 20"/>
    <w:rPr>
      <w:rFonts w:cs="Courier New"/>
    </w:rPr>
  </w:style>
  <w:style w:type="character" w:styleId="ListLabel21" w:customStyle="1">
    <w:name w:val="ListLabel 21"/>
    <w:rPr>
      <w:rFonts w:cs="Wingdings"/>
    </w:rPr>
  </w:style>
  <w:style w:type="character" w:styleId="ListLabel22" w:customStyle="1">
    <w:name w:val="ListLabel 22"/>
    <w:rPr>
      <w:rFonts w:cs="Symbol"/>
    </w:rPr>
  </w:style>
  <w:style w:type="character" w:styleId="ListLabel23" w:customStyle="1">
    <w:name w:val="ListLabel 23"/>
    <w:rPr>
      <w:rFonts w:cs="Courier New"/>
    </w:rPr>
  </w:style>
  <w:style w:type="character" w:styleId="ListLabel24" w:customStyle="1">
    <w:name w:val="ListLabel 24"/>
    <w:rPr>
      <w:rFonts w:cs="Wingdings"/>
    </w:rPr>
  </w:style>
  <w:style w:type="character" w:styleId="ListLabel25" w:customStyle="1">
    <w:name w:val="ListLabel 25"/>
    <w:rPr>
      <w:rFonts w:cs="Symbol"/>
    </w:rPr>
  </w:style>
  <w:style w:type="character" w:styleId="ListLabel26" w:customStyle="1">
    <w:name w:val="ListLabel 26"/>
    <w:rPr>
      <w:rFonts w:cs="Courier New"/>
    </w:rPr>
  </w:style>
  <w:style w:type="character" w:styleId="ListLabel27" w:customStyle="1">
    <w:name w:val="ListLabel 27"/>
    <w:rPr>
      <w:rFonts w:cs="Wingdings"/>
    </w:rPr>
  </w:style>
  <w:style w:type="character" w:styleId="ListLabel28" w:customStyle="1">
    <w:name w:val="ListLabel 28"/>
    <w:rPr>
      <w:rFonts w:cs="Symbol"/>
    </w:rPr>
  </w:style>
  <w:style w:type="character" w:styleId="ListLabel29" w:customStyle="1">
    <w:name w:val="ListLabel 29"/>
    <w:rPr>
      <w:rFonts w:cs="Courier New"/>
    </w:rPr>
  </w:style>
  <w:style w:type="character" w:styleId="ListLabel30" w:customStyle="1">
    <w:name w:val="ListLabel 30"/>
    <w:rPr>
      <w:rFonts w:cs="Wingdings"/>
    </w:rPr>
  </w:style>
  <w:style w:type="character" w:styleId="ListLabel31" w:customStyle="1">
    <w:name w:val="ListLabel 31"/>
    <w:rPr>
      <w:rFonts w:cs="Symbol"/>
    </w:rPr>
  </w:style>
  <w:style w:type="character" w:styleId="ListLabel32" w:customStyle="1">
    <w:name w:val="ListLabel 32"/>
    <w:rPr>
      <w:rFonts w:cs="Courier New"/>
    </w:rPr>
  </w:style>
  <w:style w:type="character" w:styleId="ListLabel33" w:customStyle="1">
    <w:name w:val="ListLabel 33"/>
    <w:rPr>
      <w:rFonts w:cs="Wingdings"/>
    </w:rPr>
  </w:style>
  <w:style w:type="character" w:styleId="ListLabel34" w:customStyle="1">
    <w:name w:val="ListLabel 34"/>
    <w:rPr>
      <w:rFonts w:cs="Symbol"/>
    </w:rPr>
  </w:style>
  <w:style w:type="character" w:styleId="ListLabel35" w:customStyle="1">
    <w:name w:val="ListLabel 35"/>
    <w:rPr>
      <w:rFonts w:cs="Courier New"/>
    </w:rPr>
  </w:style>
  <w:style w:type="character" w:styleId="ListLabel36" w:customStyle="1">
    <w:name w:val="ListLabel 36"/>
    <w:rPr>
      <w:rFonts w:cs="Wingdings"/>
    </w:rPr>
  </w:style>
  <w:style w:type="character" w:styleId="ListLabel37" w:customStyle="1">
    <w:name w:val="ListLabel 37"/>
    <w:rPr>
      <w:rFonts w:cs="Symbol"/>
    </w:rPr>
  </w:style>
  <w:style w:type="character" w:styleId="ListLabel38" w:customStyle="1">
    <w:name w:val="ListLabel 38"/>
    <w:rPr>
      <w:rFonts w:cs="Courier New"/>
    </w:rPr>
  </w:style>
  <w:style w:type="character" w:styleId="ListLabel39" w:customStyle="1">
    <w:name w:val="ListLabel 39"/>
    <w:rPr>
      <w:rFonts w:cs="Wingdings"/>
    </w:rPr>
  </w:style>
  <w:style w:type="character" w:styleId="ListLabel40" w:customStyle="1">
    <w:name w:val="ListLabel 40"/>
    <w:rPr>
      <w:rFonts w:cs="Symbol"/>
    </w:rPr>
  </w:style>
  <w:style w:type="character" w:styleId="ListLabel41" w:customStyle="1">
    <w:name w:val="ListLabel 41"/>
    <w:rPr>
      <w:rFonts w:cs="Courier New"/>
    </w:rPr>
  </w:style>
  <w:style w:type="character" w:styleId="ListLabel42" w:customStyle="1">
    <w:name w:val="ListLabel 42"/>
    <w:rPr>
      <w:rFonts w:cs="Wingdings"/>
    </w:rPr>
  </w:style>
  <w:style w:type="character" w:styleId="ListLabel43" w:customStyle="1">
    <w:name w:val="ListLabel 43"/>
    <w:rPr>
      <w:rFonts w:cs="Symbol"/>
    </w:rPr>
  </w:style>
  <w:style w:type="character" w:styleId="ListLabel44" w:customStyle="1">
    <w:name w:val="ListLabel 44"/>
    <w:rPr>
      <w:rFonts w:cs="Courier New"/>
    </w:rPr>
  </w:style>
  <w:style w:type="character" w:styleId="ListLabel45" w:customStyle="1">
    <w:name w:val="ListLabel 45"/>
    <w:rPr>
      <w:rFonts w:cs="Wingdings"/>
    </w:rPr>
  </w:style>
  <w:style w:type="character" w:styleId="ListLabel46" w:customStyle="1">
    <w:name w:val="ListLabel 46"/>
    <w:rPr>
      <w:rFonts w:cs="Wingdings"/>
      <w:sz w:val="20"/>
    </w:rPr>
  </w:style>
  <w:style w:type="character" w:styleId="ListLabel47" w:customStyle="1">
    <w:name w:val="ListLabel 47"/>
    <w:rPr>
      <w:rFonts w:cs="Wingdings"/>
      <w:sz w:val="20"/>
    </w:rPr>
  </w:style>
  <w:style w:type="character" w:styleId="ListLabel48" w:customStyle="1">
    <w:name w:val="ListLabel 48"/>
    <w:rPr>
      <w:rFonts w:cs="Wingdings"/>
      <w:sz w:val="20"/>
    </w:rPr>
  </w:style>
  <w:style w:type="character" w:styleId="ListLabel49" w:customStyle="1">
    <w:name w:val="ListLabel 49"/>
    <w:rPr>
      <w:rFonts w:cs="Wingdings"/>
      <w:sz w:val="20"/>
    </w:rPr>
  </w:style>
  <w:style w:type="character" w:styleId="ListLabel50" w:customStyle="1">
    <w:name w:val="ListLabel 50"/>
    <w:rPr>
      <w:rFonts w:cs="Wingdings"/>
      <w:sz w:val="20"/>
    </w:rPr>
  </w:style>
  <w:style w:type="character" w:styleId="ListLabel51" w:customStyle="1">
    <w:name w:val="ListLabel 51"/>
    <w:rPr>
      <w:rFonts w:cs="Wingdings"/>
      <w:sz w:val="20"/>
    </w:rPr>
  </w:style>
  <w:style w:type="character" w:styleId="ListLabel52" w:customStyle="1">
    <w:name w:val="ListLabel 52"/>
    <w:rPr>
      <w:rFonts w:cs="Wingdings"/>
      <w:sz w:val="20"/>
    </w:rPr>
  </w:style>
  <w:style w:type="character" w:styleId="ListLabel53" w:customStyle="1">
    <w:name w:val="ListLabel 53"/>
    <w:rPr>
      <w:rFonts w:cs="Wingdings"/>
      <w:sz w:val="20"/>
    </w:rPr>
  </w:style>
  <w:style w:type="character" w:styleId="ListLabel54" w:customStyle="1">
    <w:name w:val="ListLabel 54"/>
    <w:rPr>
      <w:rFonts w:cs="Wingdings"/>
      <w:sz w:val="20"/>
    </w:rPr>
  </w:style>
  <w:style w:type="character" w:styleId="ListLabel55" w:customStyle="1">
    <w:name w:val="ListLabel 55"/>
    <w:rPr>
      <w:rFonts w:cs="Wingdings"/>
      <w:sz w:val="20"/>
    </w:rPr>
  </w:style>
  <w:style w:type="character" w:styleId="ListLabel56" w:customStyle="1">
    <w:name w:val="ListLabel 56"/>
    <w:rPr>
      <w:rFonts w:cs="Wingdings"/>
      <w:sz w:val="20"/>
    </w:rPr>
  </w:style>
  <w:style w:type="character" w:styleId="ListLabel57" w:customStyle="1">
    <w:name w:val="ListLabel 57"/>
    <w:rPr>
      <w:rFonts w:cs="Wingdings"/>
      <w:sz w:val="20"/>
    </w:rPr>
  </w:style>
  <w:style w:type="character" w:styleId="ListLabel58" w:customStyle="1">
    <w:name w:val="ListLabel 58"/>
    <w:rPr>
      <w:rFonts w:cs="Wingdings"/>
      <w:sz w:val="20"/>
    </w:rPr>
  </w:style>
  <w:style w:type="character" w:styleId="ListLabel59" w:customStyle="1">
    <w:name w:val="ListLabel 59"/>
    <w:rPr>
      <w:rFonts w:cs="Wingdings"/>
      <w:sz w:val="20"/>
    </w:rPr>
  </w:style>
  <w:style w:type="character" w:styleId="ListLabel60" w:customStyle="1">
    <w:name w:val="ListLabel 60"/>
    <w:rPr>
      <w:rFonts w:cs="Wingdings"/>
      <w:sz w:val="20"/>
    </w:rPr>
  </w:style>
  <w:style w:type="character" w:styleId="ListLabel61" w:customStyle="1">
    <w:name w:val="ListLabel 61"/>
    <w:rPr>
      <w:rFonts w:cs="Wingdings"/>
      <w:sz w:val="20"/>
    </w:rPr>
  </w:style>
  <w:style w:type="character" w:styleId="ListLabel62" w:customStyle="1">
    <w:name w:val="ListLabel 62"/>
    <w:rPr>
      <w:rFonts w:cs="Wingdings"/>
      <w:sz w:val="20"/>
    </w:rPr>
  </w:style>
  <w:style w:type="character" w:styleId="ListLabel63" w:customStyle="1">
    <w:name w:val="ListLabel 63"/>
    <w:rPr>
      <w:rFonts w:cs="Wingdings"/>
      <w:sz w:val="20"/>
    </w:rPr>
  </w:style>
  <w:style w:type="character" w:styleId="ListLabel64" w:customStyle="1">
    <w:name w:val="ListLabel 64"/>
    <w:rPr>
      <w:rFonts w:cs="Symbol"/>
    </w:rPr>
  </w:style>
  <w:style w:type="character" w:styleId="ListLabel65" w:customStyle="1">
    <w:name w:val="ListLabel 65"/>
    <w:rPr>
      <w:rFonts w:cs="Courier New"/>
    </w:rPr>
  </w:style>
  <w:style w:type="character" w:styleId="ListLabel66" w:customStyle="1">
    <w:name w:val="ListLabel 66"/>
    <w:rPr>
      <w:rFonts w:cs="Wingdings"/>
    </w:rPr>
  </w:style>
  <w:style w:type="character" w:styleId="ListLabel67" w:customStyle="1">
    <w:name w:val="ListLabel 67"/>
    <w:rPr>
      <w:rFonts w:cs="Symbol"/>
    </w:rPr>
  </w:style>
  <w:style w:type="character" w:styleId="ListLabel68" w:customStyle="1">
    <w:name w:val="ListLabel 68"/>
    <w:rPr>
      <w:rFonts w:cs="Courier New"/>
    </w:rPr>
  </w:style>
  <w:style w:type="character" w:styleId="ListLabel69" w:customStyle="1">
    <w:name w:val="ListLabel 69"/>
    <w:rPr>
      <w:rFonts w:cs="Wingdings"/>
    </w:rPr>
  </w:style>
  <w:style w:type="character" w:styleId="ListLabel70" w:customStyle="1">
    <w:name w:val="ListLabel 70"/>
    <w:rPr>
      <w:rFonts w:cs="Symbol"/>
    </w:rPr>
  </w:style>
  <w:style w:type="character" w:styleId="ListLabel71" w:customStyle="1">
    <w:name w:val="ListLabel 71"/>
    <w:rPr>
      <w:rFonts w:cs="Courier New"/>
    </w:rPr>
  </w:style>
  <w:style w:type="character" w:styleId="ListLabel72" w:customStyle="1">
    <w:name w:val="ListLabel 72"/>
    <w:rPr>
      <w:rFonts w:cs="Wingdings"/>
    </w:rPr>
  </w:style>
  <w:style w:type="character" w:styleId="ListLabel73" w:customStyle="1">
    <w:name w:val="ListLabel 73"/>
    <w:rPr>
      <w:rFonts w:cs="Symbol"/>
    </w:rPr>
  </w:style>
  <w:style w:type="character" w:styleId="ListLabel74" w:customStyle="1">
    <w:name w:val="ListLabel 74"/>
    <w:rPr>
      <w:rFonts w:cs="Courier New"/>
    </w:rPr>
  </w:style>
  <w:style w:type="character" w:styleId="ListLabel75" w:customStyle="1">
    <w:name w:val="ListLabel 75"/>
    <w:rPr>
      <w:rFonts w:cs="Wingdings"/>
    </w:rPr>
  </w:style>
  <w:style w:type="character" w:styleId="ListLabel76" w:customStyle="1">
    <w:name w:val="ListLabel 76"/>
    <w:rPr>
      <w:rFonts w:cs="Symbol"/>
    </w:rPr>
  </w:style>
  <w:style w:type="character" w:styleId="ListLabel77" w:customStyle="1">
    <w:name w:val="ListLabel 77"/>
    <w:rPr>
      <w:rFonts w:cs="Courier New"/>
    </w:rPr>
  </w:style>
  <w:style w:type="character" w:styleId="ListLabel78" w:customStyle="1">
    <w:name w:val="ListLabel 78"/>
    <w:rPr>
      <w:rFonts w:cs="Wingdings"/>
    </w:rPr>
  </w:style>
  <w:style w:type="character" w:styleId="ListLabel79" w:customStyle="1">
    <w:name w:val="ListLabel 79"/>
    <w:rPr>
      <w:rFonts w:cs="Symbol"/>
    </w:rPr>
  </w:style>
  <w:style w:type="character" w:styleId="ListLabel80" w:customStyle="1">
    <w:name w:val="ListLabel 80"/>
    <w:rPr>
      <w:rFonts w:cs="Courier New"/>
    </w:rPr>
  </w:style>
  <w:style w:type="character" w:styleId="ListLabel81" w:customStyle="1">
    <w:name w:val="ListLabel 81"/>
    <w:rPr>
      <w:rFonts w:cs="Wingdings"/>
    </w:rPr>
  </w:style>
  <w:style w:type="character" w:styleId="ListLabel82" w:customStyle="1">
    <w:name w:val="ListLabel 82"/>
    <w:rPr>
      <w:rFonts w:cs="Symbol"/>
    </w:rPr>
  </w:style>
  <w:style w:type="character" w:styleId="ListLabel83" w:customStyle="1">
    <w:name w:val="ListLabel 83"/>
    <w:rPr>
      <w:rFonts w:cs="Courier New"/>
    </w:rPr>
  </w:style>
  <w:style w:type="character" w:styleId="ListLabel84" w:customStyle="1">
    <w:name w:val="ListLabel 84"/>
    <w:rPr>
      <w:rFonts w:cs="Wingdings"/>
    </w:rPr>
  </w:style>
  <w:style w:type="character" w:styleId="ListLabel85" w:customStyle="1">
    <w:name w:val="ListLabel 85"/>
    <w:rPr>
      <w:rFonts w:cs="Symbol"/>
    </w:rPr>
  </w:style>
  <w:style w:type="character" w:styleId="ListLabel86" w:customStyle="1">
    <w:name w:val="ListLabel 86"/>
    <w:rPr>
      <w:rFonts w:cs="Courier New"/>
    </w:rPr>
  </w:style>
  <w:style w:type="character" w:styleId="ListLabel87" w:customStyle="1">
    <w:name w:val="ListLabel 87"/>
    <w:rPr>
      <w:rFonts w:cs="Wingdings"/>
    </w:rPr>
  </w:style>
  <w:style w:type="character" w:styleId="ListLabel88" w:customStyle="1">
    <w:name w:val="ListLabel 88"/>
    <w:rPr>
      <w:rFonts w:cs="Symbol"/>
    </w:rPr>
  </w:style>
  <w:style w:type="character" w:styleId="ListLabel89" w:customStyle="1">
    <w:name w:val="ListLabel 89"/>
    <w:rPr>
      <w:rFonts w:cs="Courier New"/>
    </w:rPr>
  </w:style>
  <w:style w:type="character" w:styleId="ListLabel90" w:customStyle="1">
    <w:name w:val="ListLabel 90"/>
    <w:rPr>
      <w:rFonts w:cs="Wingdings"/>
    </w:rPr>
  </w:style>
  <w:style w:type="numbering" w:styleId="NoList1" w:customStyle="1">
    <w:name w:val="No List_1"/>
    <w:basedOn w:val="NoList"/>
  </w:style>
  <w:style w:type="numbering" w:styleId="WWNum1" w:customStyle="1">
    <w:name w:val="WWNum1"/>
    <w:basedOn w:val="NoList"/>
  </w:style>
  <w:style w:type="numbering" w:styleId="WWNum2" w:customStyle="1">
    <w:name w:val="WWNum2"/>
    <w:basedOn w:val="NoList"/>
  </w:style>
  <w:style w:type="numbering" w:styleId="WWNum3" w:customStyle="1">
    <w:name w:val="WWNum3"/>
    <w:basedOn w:val="NoList"/>
  </w:style>
  <w:style w:type="numbering" w:styleId="WWNum4" w:customStyle="1">
    <w:name w:val="WWNum4"/>
    <w:basedOn w:val="NoList"/>
  </w:style>
  <w:style w:type="numbering" w:styleId="WWNum5" w:customStyle="1">
    <w:name w:val="WWNum5"/>
    <w:basedOn w:val="NoList"/>
  </w:style>
  <w:style w:type="numbering" w:styleId="WWNum6" w:customStyle="1">
    <w:name w:val="WWNum6"/>
    <w:basedOn w:val="NoList"/>
  </w:style>
  <w:style w:type="numbering" w:styleId="WWNum7" w:customStyle="1">
    <w:name w:val="WWNum7"/>
    <w:basedOn w:val="NoList"/>
  </w:style>
  <w:style w:type="numbering" w:styleId="WWNum8" w:customStyle="1">
    <w:name w:val="WWNum8"/>
    <w:basedOn w:val="NoList"/>
  </w:style>
  <w:style w:type="numbering" w:styleId="WWNum9" w:customStyle="1">
    <w:name w:val="WWNum9"/>
    <w:basedOn w:val="NoList"/>
  </w:style>
  <w:style w:type="numbering" w:styleId="WWNum10" w:customStyle="1">
    <w:name w:val="WWNum10"/>
    <w:basedOn w:val="NoList"/>
  </w:style>
  <w:style w:type="numbering" w:styleId="WWNum11" w:customStyle="1">
    <w:name w:val="WWNum11"/>
    <w:basedOn w:val="NoList"/>
  </w:style>
  <w:style w:type="numbering" w:styleId="WWNum12" w:customStyle="1">
    <w:name w:val="WWNum12"/>
    <w:basedOn w:val="NoList"/>
  </w:style>
  <w:style w:type="numbering" w:styleId="WWNum13" w:customStyle="1">
    <w:name w:val="WWNum13"/>
    <w:basedOn w:val="NoList"/>
  </w:style>
  <w:style w:type="numbering" w:styleId="WWNum14" w:customStyle="1">
    <w:name w:val="WWNum14"/>
    <w:basedOn w:val="NoList"/>
  </w:style>
  <w:style w:type="numbering" w:styleId="WWNum15" w:customStyle="1">
    <w:name w:val="WWNum15"/>
    <w:basedOn w:val="NoList"/>
  </w:style>
  <w:style w:type="numbering" w:styleId="WWNum16" w:customStyle="1">
    <w:name w:val="WWNum16"/>
    <w:basedOn w:val="NoList"/>
  </w:style>
  <w:style w:type="numbering" w:styleId="WWNum17" w:customStyle="1">
    <w:name w:val="WWNum17"/>
    <w:basedOn w:val="NoList"/>
  </w:style>
  <w:style w:type="numbering" w:styleId="WWNum18" w:customStyle="1">
    <w:name w:val="WWNum18"/>
    <w:basedOn w:val="NoList"/>
  </w:style>
  <w:style w:type="numbering" w:styleId="WWNum19" w:customStyle="1">
    <w:name w:val="WWNum19"/>
    <w:basedOn w:val="NoList"/>
  </w:style>
  <w:style w:type="numbering" w:styleId="WWNum20" w:customStyle="1">
    <w:name w:val="WWNum20"/>
    <w:basedOn w:val="NoList"/>
  </w:style>
  <w:style w:type="numbering" w:styleId="WWNum21" w:customStyle="1">
    <w:name w:val="WWNum21"/>
    <w:basedOn w:val="NoList"/>
  </w:style>
  <w:style w:type="numbering" w:styleId="WWNum22" w:customStyle="1">
    <w:name w:val="WWNum22"/>
    <w:basedOn w:val="NoList"/>
  </w:style>
  <w:style w:type="paragraph" w:styleId="TOC1">
    <w:name w:val="toc 1"/>
    <w:basedOn w:val="Normal"/>
    <w:next w:val="Normal"/>
    <w:link w:val="TOC1Char"/>
    <w:autoRedefine w:val="1"/>
    <w:uiPriority w:val="39"/>
    <w:unhideWhenUsed w:val="1"/>
    <w:rsid w:val="00D71BB5"/>
    <w:pPr>
      <w:tabs>
        <w:tab w:val="clear" w:pos="9360"/>
      </w:tabs>
      <w:spacing w:before="120"/>
    </w:pPr>
    <w:rPr>
      <w:bCs w:val="1"/>
      <w:iCs w:val="1"/>
      <w:sz w:val="24"/>
      <w:szCs w:val="24"/>
    </w:rPr>
  </w:style>
  <w:style w:type="paragraph" w:styleId="TOC2">
    <w:name w:val="toc 2"/>
    <w:basedOn w:val="Normal"/>
    <w:next w:val="Normal"/>
    <w:autoRedefine w:val="1"/>
    <w:uiPriority w:val="39"/>
    <w:unhideWhenUsed w:val="1"/>
    <w:rsid w:val="00C703FF"/>
    <w:pPr>
      <w:tabs>
        <w:tab w:val="clear" w:pos="9360"/>
        <w:tab w:val="right" w:leader="dot" w:pos="9350"/>
      </w:tabs>
      <w:spacing w:before="120"/>
      <w:ind w:left="220"/>
    </w:pPr>
    <w:rPr>
      <w:noProof w:val="1"/>
    </w:rPr>
  </w:style>
  <w:style w:type="paragraph" w:styleId="TOC3">
    <w:name w:val="toc 3"/>
    <w:basedOn w:val="Normal"/>
    <w:next w:val="Normal"/>
    <w:autoRedefine w:val="1"/>
    <w:uiPriority w:val="39"/>
    <w:unhideWhenUsed w:val="1"/>
    <w:rsid w:val="00330A2F"/>
    <w:pPr>
      <w:numPr>
        <w:ilvl w:val="2"/>
        <w:numId w:val="9"/>
      </w:numPr>
      <w:tabs>
        <w:tab w:val="clear" w:pos="9360"/>
        <w:tab w:val="right" w:pos="9350"/>
      </w:tabs>
      <w:spacing w:before="120"/>
    </w:pPr>
    <w:rPr>
      <w:sz w:val="20"/>
      <w:szCs w:val="20"/>
    </w:rPr>
  </w:style>
  <w:style w:type="character" w:styleId="Hyperlink">
    <w:name w:val="Hyperlink"/>
    <w:uiPriority w:val="99"/>
    <w:unhideWhenUsed w:val="1"/>
    <w:rsid w:val="00E05AE5"/>
    <w:rPr>
      <w:color w:val="0563c1"/>
      <w:u w:val="single"/>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6" w:customStyle="1">
    <w:name w:val="6"/>
    <w:basedOn w:val="TableNormal"/>
    <w:tblPr>
      <w:tblStyleRowBandSize w:val="1"/>
      <w:tblStyleColBandSize w:val="1"/>
      <w:tblCellMar>
        <w:left w:w="10.0" w:type="dxa"/>
        <w:right w:w="10.0" w:type="dxa"/>
      </w:tblCellMar>
    </w:tblPr>
  </w:style>
  <w:style w:type="table" w:styleId="5" w:customStyle="1">
    <w:name w:val="5"/>
    <w:basedOn w:val="TableNormal"/>
    <w:tblPr>
      <w:tblStyleRowBandSize w:val="1"/>
      <w:tblStyleColBandSize w:val="1"/>
      <w:tblCellMar>
        <w:left w:w="10.0" w:type="dxa"/>
        <w:right w:w="10.0" w:type="dxa"/>
      </w:tblCellMar>
    </w:tblPr>
  </w:style>
  <w:style w:type="table" w:styleId="4" w:customStyle="1">
    <w:name w:val="4"/>
    <w:basedOn w:val="TableNormal"/>
    <w:tblPr>
      <w:tblStyleRowBandSize w:val="1"/>
      <w:tblStyleColBandSize w:val="1"/>
      <w:tblCellMar>
        <w:left w:w="10.0" w:type="dxa"/>
        <w:right w:w="10.0" w:type="dxa"/>
      </w:tblCellMar>
    </w:tblPr>
  </w:style>
  <w:style w:type="table" w:styleId="3" w:customStyle="1">
    <w:name w:val="3"/>
    <w:basedOn w:val="TableNormal"/>
    <w:tblPr>
      <w:tblStyleRowBandSize w:val="1"/>
      <w:tblStyleColBandSize w:val="1"/>
      <w:tblCellMar>
        <w:left w:w="10.0" w:type="dxa"/>
        <w:right w:w="10.0" w:type="dxa"/>
      </w:tblCellMar>
    </w:tblPr>
  </w:style>
  <w:style w:type="table" w:styleId="2" w:customStyle="1">
    <w:name w:val="2"/>
    <w:basedOn w:val="TableNormal"/>
    <w:tblPr>
      <w:tblStyleRowBandSize w:val="1"/>
      <w:tblStyleColBandSize w:val="1"/>
      <w:tblCellMar>
        <w:left w:w="10.0" w:type="dxa"/>
        <w:right w:w="10.0" w:type="dxa"/>
      </w:tblCellMar>
    </w:tblPr>
  </w:style>
  <w:style w:type="table" w:styleId="1" w:customStyle="1">
    <w:name w:val="1"/>
    <w:basedOn w:val="TableNormal"/>
    <w:tblPr>
      <w:tblStyleRowBandSize w:val="1"/>
      <w:tblStyleColBandSize w:val="1"/>
      <w:tblCellMar>
        <w:left w:w="10.0" w:type="dxa"/>
        <w:right w:w="10.0" w:type="dxa"/>
      </w:tblCellMar>
    </w:tblPr>
  </w:style>
  <w:style w:type="character" w:styleId="UnresolvedMention3" w:customStyle="1">
    <w:name w:val="Unresolved Mention3"/>
    <w:basedOn w:val="DefaultParagraphFont"/>
    <w:uiPriority w:val="99"/>
    <w:semiHidden w:val="1"/>
    <w:unhideWhenUsed w:val="1"/>
    <w:rsid w:val="00A55306"/>
    <w:rPr>
      <w:color w:val="605e5c"/>
      <w:shd w:color="auto" w:fill="e1dfdd" w:val="clear"/>
    </w:rPr>
  </w:style>
  <w:style w:type="character" w:styleId="FollowedHyperlink">
    <w:name w:val="FollowedHyperlink"/>
    <w:basedOn w:val="DefaultParagraphFont"/>
    <w:uiPriority w:val="99"/>
    <w:semiHidden w:val="1"/>
    <w:unhideWhenUsed w:val="1"/>
    <w:rsid w:val="00A55306"/>
    <w:rPr>
      <w:color w:val="b9d181" w:themeColor="followedHyperlink"/>
      <w:u w:val="single"/>
    </w:rPr>
  </w:style>
  <w:style w:type="paragraph" w:styleId="TOC4">
    <w:name w:val="toc 4"/>
    <w:basedOn w:val="Normal"/>
    <w:next w:val="Normal"/>
    <w:autoRedefine w:val="1"/>
    <w:uiPriority w:val="39"/>
    <w:semiHidden w:val="1"/>
    <w:unhideWhenUsed w:val="1"/>
    <w:rsid w:val="00882AE6"/>
    <w:pPr>
      <w:tabs>
        <w:tab w:val="clear" w:pos="9360"/>
      </w:tabs>
      <w:spacing w:before="0"/>
      <w:ind w:left="660"/>
    </w:pPr>
    <w:rPr>
      <w:sz w:val="20"/>
      <w:szCs w:val="20"/>
    </w:rPr>
  </w:style>
  <w:style w:type="paragraph" w:styleId="TOC5">
    <w:name w:val="toc 5"/>
    <w:basedOn w:val="Normal"/>
    <w:next w:val="Normal"/>
    <w:autoRedefine w:val="1"/>
    <w:uiPriority w:val="39"/>
    <w:semiHidden w:val="1"/>
    <w:unhideWhenUsed w:val="1"/>
    <w:rsid w:val="00882AE6"/>
    <w:pPr>
      <w:tabs>
        <w:tab w:val="clear" w:pos="9360"/>
      </w:tabs>
      <w:spacing w:before="0"/>
      <w:ind w:left="880"/>
    </w:pPr>
    <w:rPr>
      <w:sz w:val="20"/>
      <w:szCs w:val="20"/>
    </w:rPr>
  </w:style>
  <w:style w:type="paragraph" w:styleId="TOC6">
    <w:name w:val="toc 6"/>
    <w:basedOn w:val="Normal"/>
    <w:next w:val="Normal"/>
    <w:autoRedefine w:val="1"/>
    <w:uiPriority w:val="39"/>
    <w:semiHidden w:val="1"/>
    <w:unhideWhenUsed w:val="1"/>
    <w:rsid w:val="00882AE6"/>
    <w:pPr>
      <w:tabs>
        <w:tab w:val="clear" w:pos="9360"/>
      </w:tabs>
      <w:spacing w:before="0"/>
      <w:ind w:left="1100"/>
    </w:pPr>
    <w:rPr>
      <w:sz w:val="20"/>
      <w:szCs w:val="20"/>
    </w:rPr>
  </w:style>
  <w:style w:type="paragraph" w:styleId="TOC7">
    <w:name w:val="toc 7"/>
    <w:basedOn w:val="Normal"/>
    <w:next w:val="Normal"/>
    <w:autoRedefine w:val="1"/>
    <w:uiPriority w:val="39"/>
    <w:semiHidden w:val="1"/>
    <w:unhideWhenUsed w:val="1"/>
    <w:rsid w:val="00882AE6"/>
    <w:pPr>
      <w:tabs>
        <w:tab w:val="clear" w:pos="9360"/>
      </w:tabs>
      <w:spacing w:before="0"/>
      <w:ind w:left="1320"/>
    </w:pPr>
    <w:rPr>
      <w:sz w:val="20"/>
      <w:szCs w:val="20"/>
    </w:rPr>
  </w:style>
  <w:style w:type="paragraph" w:styleId="TOC8">
    <w:name w:val="toc 8"/>
    <w:basedOn w:val="Normal"/>
    <w:next w:val="Normal"/>
    <w:autoRedefine w:val="1"/>
    <w:uiPriority w:val="39"/>
    <w:semiHidden w:val="1"/>
    <w:unhideWhenUsed w:val="1"/>
    <w:rsid w:val="00882AE6"/>
    <w:pPr>
      <w:tabs>
        <w:tab w:val="clear" w:pos="9360"/>
      </w:tabs>
      <w:spacing w:before="0"/>
      <w:ind w:left="1540"/>
    </w:pPr>
    <w:rPr>
      <w:sz w:val="20"/>
      <w:szCs w:val="20"/>
    </w:rPr>
  </w:style>
  <w:style w:type="paragraph" w:styleId="TOC9">
    <w:name w:val="toc 9"/>
    <w:basedOn w:val="Normal"/>
    <w:next w:val="Normal"/>
    <w:autoRedefine w:val="1"/>
    <w:uiPriority w:val="39"/>
    <w:semiHidden w:val="1"/>
    <w:unhideWhenUsed w:val="1"/>
    <w:rsid w:val="00882AE6"/>
    <w:pPr>
      <w:tabs>
        <w:tab w:val="clear" w:pos="9360"/>
      </w:tabs>
      <w:spacing w:before="0"/>
      <w:ind w:left="1760"/>
    </w:pPr>
    <w:rPr>
      <w:sz w:val="20"/>
      <w:szCs w:val="20"/>
    </w:rPr>
  </w:style>
  <w:style w:type="character" w:styleId="UnresolvedMention4" w:customStyle="1">
    <w:name w:val="Unresolved Mention4"/>
    <w:basedOn w:val="DefaultParagraphFont"/>
    <w:uiPriority w:val="99"/>
    <w:semiHidden w:val="1"/>
    <w:unhideWhenUsed w:val="1"/>
    <w:rsid w:val="009139DD"/>
    <w:rPr>
      <w:color w:val="605e5c"/>
      <w:shd w:color="auto" w:fill="e1dfdd" w:val="clear"/>
    </w:rPr>
  </w:style>
  <w:style w:type="table" w:styleId="TableGrid">
    <w:name w:val="Table Grid"/>
    <w:basedOn w:val="TableNormal"/>
    <w:uiPriority w:val="39"/>
    <w:rsid w:val="00FE2CD0"/>
    <w:pPr>
      <w:spacing w:before="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GridTable4-Accent1">
    <w:name w:val="Grid Table 4 Accent 1"/>
    <w:basedOn w:val="TableNormal"/>
    <w:uiPriority w:val="49"/>
    <w:rsid w:val="00FE2CD0"/>
    <w:tblPr>
      <w:tblStyleRowBandSize w:val="1"/>
      <w:tblStyleColBandSize w:val="1"/>
      <w:tblBorders>
        <w:top w:color="8ee46c" w:space="0" w:sz="4" w:themeColor="accent1" w:themeTint="000099" w:val="single"/>
        <w:left w:color="8ee46c" w:space="0" w:sz="4" w:themeColor="accent1" w:themeTint="000099" w:val="single"/>
        <w:bottom w:color="8ee46c" w:space="0" w:sz="4" w:themeColor="accent1" w:themeTint="000099" w:val="single"/>
        <w:right w:color="8ee46c" w:space="0" w:sz="4" w:themeColor="accent1" w:themeTint="000099" w:val="single"/>
        <w:insideH w:color="8ee46c" w:space="0" w:sz="4" w:themeColor="accent1" w:themeTint="000099" w:val="single"/>
        <w:insideV w:color="8ee46c" w:space="0" w:sz="4" w:themeColor="accent1" w:themeTint="000099" w:val="single"/>
      </w:tblBorders>
    </w:tblPr>
    <w:tblStylePr w:type="firstRow">
      <w:rPr>
        <w:b w:val="1"/>
        <w:bCs w:val="1"/>
        <w:color w:val="ffffff" w:themeColor="background1"/>
      </w:rPr>
      <w:tblPr/>
      <w:tcPr>
        <w:tcBorders>
          <w:top w:color="4ebc22" w:space="0" w:sz="4" w:themeColor="accent1" w:val="single"/>
          <w:left w:color="4ebc22" w:space="0" w:sz="4" w:themeColor="accent1" w:val="single"/>
          <w:bottom w:color="4ebc22" w:space="0" w:sz="4" w:themeColor="accent1" w:val="single"/>
          <w:right w:color="4ebc22" w:space="0" w:sz="4" w:themeColor="accent1" w:val="single"/>
          <w:insideH w:space="0" w:sz="0" w:val="nil"/>
          <w:insideV w:space="0" w:sz="0" w:val="nil"/>
        </w:tcBorders>
        <w:shd w:color="auto" w:fill="4ebc22" w:themeFill="accent1" w:val="clear"/>
      </w:tcPr>
    </w:tblStylePr>
    <w:tblStylePr w:type="lastRow">
      <w:rPr>
        <w:b w:val="1"/>
        <w:bCs w:val="1"/>
      </w:rPr>
      <w:tblPr/>
      <w:tcPr>
        <w:tcBorders>
          <w:top w:color="4ebc22" w:space="0" w:sz="4" w:themeColor="accent1" w:val="double"/>
        </w:tcBorders>
      </w:tcPr>
    </w:tblStylePr>
    <w:tblStylePr w:type="firstCol">
      <w:rPr>
        <w:b w:val="1"/>
        <w:bCs w:val="1"/>
      </w:rPr>
    </w:tblStylePr>
    <w:tblStylePr w:type="lastCol">
      <w:rPr>
        <w:b w:val="1"/>
        <w:bCs w:val="1"/>
      </w:rPr>
    </w:tblStylePr>
    <w:tblStylePr w:type="band1Vert">
      <w:tblPr/>
      <w:tcPr>
        <w:shd w:color="auto" w:fill="d9f6ce" w:themeFill="accent1" w:themeFillTint="000033" w:val="clear"/>
      </w:tcPr>
    </w:tblStylePr>
    <w:tblStylePr w:type="band1Horz">
      <w:tblPr/>
      <w:tcPr>
        <w:shd w:color="auto" w:fill="d9f6ce" w:themeFill="accent1" w:themeFillTint="000033" w:val="clear"/>
      </w:tcPr>
    </w:tblStylePr>
  </w:style>
  <w:style w:type="table" w:styleId="GridTable1Light-Accent1">
    <w:name w:val="Grid Table 1 Light Accent 1"/>
    <w:basedOn w:val="TableNormal"/>
    <w:uiPriority w:val="46"/>
    <w:rsid w:val="006B321C"/>
    <w:tblPr>
      <w:tblStyleRowBandSize w:val="1"/>
      <w:tblStyleColBandSize w:val="1"/>
      <w:tblBorders>
        <w:top w:color="b3ed9d" w:space="0" w:sz="4" w:themeColor="accent1" w:themeTint="000066" w:val="single"/>
        <w:left w:color="b3ed9d" w:space="0" w:sz="4" w:themeColor="accent1" w:themeTint="000066" w:val="single"/>
        <w:bottom w:color="b3ed9d" w:space="0" w:sz="4" w:themeColor="accent1" w:themeTint="000066" w:val="single"/>
        <w:right w:color="b3ed9d" w:space="0" w:sz="4" w:themeColor="accent1" w:themeTint="000066" w:val="single"/>
        <w:insideH w:color="b3ed9d" w:space="0" w:sz="4" w:themeColor="accent1" w:themeTint="000066" w:val="single"/>
        <w:insideV w:color="b3ed9d" w:space="0" w:sz="4" w:themeColor="accent1" w:themeTint="000066" w:val="single"/>
      </w:tblBorders>
    </w:tblPr>
    <w:tblStylePr w:type="firstRow">
      <w:rPr>
        <w:b w:val="1"/>
        <w:bCs w:val="1"/>
      </w:rPr>
      <w:tblPr/>
      <w:tcPr>
        <w:tcBorders>
          <w:bottom w:color="8ee46c" w:space="0" w:sz="12" w:themeColor="accent1" w:themeTint="000099" w:val="single"/>
        </w:tcBorders>
      </w:tcPr>
    </w:tblStylePr>
    <w:tblStylePr w:type="lastRow">
      <w:rPr>
        <w:b w:val="1"/>
        <w:bCs w:val="1"/>
      </w:rPr>
      <w:tblPr/>
      <w:tcPr>
        <w:tcBorders>
          <w:top w:color="8ee46c" w:space="0" w:sz="2" w:themeColor="accent1" w:themeTint="000099" w:val="double"/>
        </w:tcBorders>
      </w:tcPr>
    </w:tblStylePr>
    <w:tblStylePr w:type="firstCol">
      <w:rPr>
        <w:b w:val="1"/>
        <w:bCs w:val="1"/>
      </w:rPr>
    </w:tblStylePr>
    <w:tblStylePr w:type="lastCol">
      <w:rPr>
        <w:b w:val="1"/>
        <w:bCs w:val="1"/>
      </w:rPr>
    </w:tblStylePr>
  </w:style>
  <w:style w:type="table" w:styleId="GridTable2-Accent5">
    <w:name w:val="Grid Table 2 Accent 5"/>
    <w:basedOn w:val="TableNormal"/>
    <w:uiPriority w:val="47"/>
    <w:rsid w:val="006B321C"/>
    <w:tblPr>
      <w:tblStyleRowBandSize w:val="1"/>
      <w:tblStyleColBandSize w:val="1"/>
      <w:tblBorders>
        <w:top w:color="a6e0ac" w:space="0" w:sz="2" w:themeColor="accent5" w:themeTint="000099" w:val="single"/>
        <w:bottom w:color="a6e0ac" w:space="0" w:sz="2" w:themeColor="accent5" w:themeTint="000099" w:val="single"/>
        <w:insideH w:color="a6e0ac" w:space="0" w:sz="2" w:themeColor="accent5" w:themeTint="000099" w:val="single"/>
        <w:insideV w:color="a6e0ac" w:space="0" w:sz="2" w:themeColor="accent5" w:themeTint="000099" w:val="single"/>
      </w:tblBorders>
    </w:tblPr>
    <w:tblStylePr w:type="firstRow">
      <w:rPr>
        <w:b w:val="1"/>
        <w:bCs w:val="1"/>
      </w:rPr>
      <w:tblPr/>
      <w:tcPr>
        <w:tcBorders>
          <w:top w:space="0" w:sz="0" w:val="nil"/>
          <w:bottom w:color="a6e0ac" w:space="0" w:sz="12" w:themeColor="accent5" w:themeTint="000099" w:val="single"/>
          <w:insideH w:space="0" w:sz="0" w:val="nil"/>
          <w:insideV w:space="0" w:sz="0" w:val="nil"/>
        </w:tcBorders>
        <w:shd w:color="auto" w:fill="ffffff" w:themeFill="background1" w:val="clear"/>
      </w:tcPr>
    </w:tblStylePr>
    <w:tblStylePr w:type="lastRow">
      <w:rPr>
        <w:b w:val="1"/>
        <w:bCs w:val="1"/>
      </w:rPr>
      <w:tblPr/>
      <w:tcPr>
        <w:tcBorders>
          <w:top w:color="a6e0ac" w:space="0" w:sz="2" w:themeColor="accent5"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e1f4e3" w:themeFill="accent5" w:themeFillTint="000033" w:val="clear"/>
      </w:tcPr>
    </w:tblStylePr>
    <w:tblStylePr w:type="band1Horz">
      <w:tblPr/>
      <w:tcPr>
        <w:shd w:color="auto" w:fill="e1f4e3" w:themeFill="accent5" w:themeFillTint="000033" w:val="clear"/>
      </w:tcPr>
    </w:tblStylePr>
  </w:style>
  <w:style w:type="character" w:styleId="UnresolvedMention5" w:customStyle="1">
    <w:name w:val="Unresolved Mention5"/>
    <w:basedOn w:val="DefaultParagraphFont"/>
    <w:uiPriority w:val="99"/>
    <w:semiHidden w:val="1"/>
    <w:unhideWhenUsed w:val="1"/>
    <w:rsid w:val="00645D98"/>
    <w:rPr>
      <w:color w:val="605e5c"/>
      <w:shd w:color="auto" w:fill="e1dfdd" w:val="clear"/>
    </w:rPr>
  </w:style>
  <w:style w:type="character" w:styleId="UnresolvedMention6" w:customStyle="1">
    <w:name w:val="Unresolved Mention6"/>
    <w:basedOn w:val="DefaultParagraphFont"/>
    <w:uiPriority w:val="99"/>
    <w:semiHidden w:val="1"/>
    <w:unhideWhenUsed w:val="1"/>
    <w:rsid w:val="00E0422C"/>
    <w:rPr>
      <w:color w:val="605e5c"/>
      <w:shd w:color="auto" w:fill="e1dfdd" w:val="clear"/>
    </w:rPr>
  </w:style>
  <w:style w:type="table" w:styleId="a"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0"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1"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2"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3"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4"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5"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6"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7"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8"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9"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a"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b" w:customStyle="1">
    <w:basedOn w:val="TableNormal"/>
    <w:tblPr>
      <w:tblStyleRowBandSize w:val="1"/>
      <w:tblStyleColBandSize w:val="1"/>
      <w:tblCellMar>
        <w:top w:w="100.0" w:type="dxa"/>
        <w:left w:w="100.0" w:type="dxa"/>
        <w:bottom w:w="100.0" w:type="dxa"/>
        <w:right w:w="100.0" w:type="dxa"/>
      </w:tblCellMar>
    </w:tblPr>
  </w:style>
  <w:style w:type="character" w:styleId="BookTitle">
    <w:name w:val="Book Title"/>
    <w:basedOn w:val="DefaultParagraphFont"/>
    <w:uiPriority w:val="33"/>
    <w:qFormat w:val="1"/>
    <w:rsid w:val="00CB526A"/>
    <w:rPr>
      <w:rFonts w:asciiTheme="majorHAnsi" w:hAnsiTheme="majorHAnsi"/>
      <w:bCs w:val="1"/>
      <w:color w:val="4ebc22" w:themeColor="accent1"/>
      <w:sz w:val="64"/>
      <w:szCs w:val="200"/>
      <w14:shadow w14:blurRad="38100" w14:sx="100000" w14:algn="ctr" w14:dir="5400000" w14:dist="25400" w14:sy="100000">
        <w14:srgbClr w14:val="6E747A">
          <w14:alpha w14:val="57000"/>
        </w14:srgbClr>
      </w14:shadow>
      <w14:textOutline w14:cap="flat" w14:cmpd="sng" w14:algn="ctr">
        <w14:noFill/>
        <w14:prstDash w14:val="solid"/>
        <w14:round/>
      </w14:textOutline>
    </w:rPr>
  </w:style>
  <w:style w:type="paragraph" w:styleId="BookSub-Title" w:customStyle="1">
    <w:name w:val="Book Sub-Title"/>
    <w:basedOn w:val="Normal"/>
    <w:link w:val="BookSub-TitleChar"/>
    <w:qFormat w:val="1"/>
    <w:rsid w:val="00593D99"/>
    <w:pPr>
      <w:jc w:val="center"/>
    </w:pPr>
    <w:rPr>
      <w:rFonts w:asciiTheme="majorHAnsi" w:hAnsiTheme="majorHAnsi"/>
      <w:spacing w:val="20"/>
      <w:sz w:val="34"/>
      <w:szCs w:val="34"/>
    </w:rPr>
  </w:style>
  <w:style w:type="character" w:styleId="BookSub-TitleChar" w:customStyle="1">
    <w:name w:val="Book Sub-Title Char"/>
    <w:basedOn w:val="DefaultParagraphFont"/>
    <w:link w:val="BookSub-Title"/>
    <w:rsid w:val="00593D99"/>
    <w:rPr>
      <w:rFonts w:asciiTheme="majorHAnsi" w:hAnsiTheme="majorHAnsi"/>
      <w:spacing w:val="20"/>
      <w:sz w:val="34"/>
      <w:szCs w:val="34"/>
    </w:rPr>
  </w:style>
  <w:style w:type="paragraph" w:styleId="TOCH1" w:customStyle="1">
    <w:name w:val="TOC H1"/>
    <w:basedOn w:val="TOC1"/>
    <w:link w:val="TOCH1Char"/>
    <w:qFormat w:val="1"/>
    <w:rsid w:val="000B0F52"/>
    <w:pPr>
      <w:tabs>
        <w:tab w:val="right" w:pos="9350"/>
      </w:tabs>
    </w:pPr>
    <w:rPr>
      <w:b w:val="1"/>
      <w:szCs w:val="28"/>
    </w:rPr>
  </w:style>
  <w:style w:type="character" w:styleId="TOC1Char" w:customStyle="1">
    <w:name w:val="TOC 1 Char"/>
    <w:basedOn w:val="DefaultParagraphFont"/>
    <w:link w:val="TOC1"/>
    <w:uiPriority w:val="39"/>
    <w:rsid w:val="000B0F52"/>
    <w:rPr>
      <w:rFonts w:asciiTheme="minorHAnsi" w:hAnsiTheme="minorHAnsi"/>
      <w:bCs w:val="1"/>
      <w:iCs w:val="1"/>
      <w:sz w:val="24"/>
      <w:szCs w:val="24"/>
    </w:rPr>
  </w:style>
  <w:style w:type="character" w:styleId="TOCH1Char" w:customStyle="1">
    <w:name w:val="TOC H1 Char"/>
    <w:basedOn w:val="TOC1Char"/>
    <w:link w:val="TOCH1"/>
    <w:rsid w:val="000B0F52"/>
    <w:rPr>
      <w:rFonts w:asciiTheme="minorHAnsi" w:hAnsiTheme="minorHAnsi"/>
      <w:b w:val="1"/>
      <w:bCs w:val="1"/>
      <w:iCs w:val="1"/>
      <w:sz w:val="24"/>
      <w:szCs w:val="28"/>
    </w:rPr>
  </w:style>
  <w:style w:type="character" w:styleId="SubtleEmphasis">
    <w:name w:val="Subtle Emphasis"/>
    <w:basedOn w:val="DefaultParagraphFont"/>
    <w:uiPriority w:val="19"/>
    <w:qFormat w:val="1"/>
    <w:rsid w:val="00294350"/>
    <w:rPr>
      <w:i w:val="1"/>
      <w:iCs w:val="1"/>
      <w:color w:val="404040" w:themeColor="text1" w:themeTint="0000BF"/>
    </w:rPr>
  </w:style>
  <w:style w:type="paragraph" w:styleId="PAGENO" w:customStyle="1">
    <w:name w:val="PAGE NO."/>
    <w:basedOn w:val="Normal"/>
    <w:link w:val="PAGENOChar"/>
    <w:qFormat w:val="1"/>
    <w:rsid w:val="0042003F"/>
    <w:pPr>
      <w:ind w:left="2160"/>
      <w:jc w:val="right"/>
    </w:pPr>
    <w:rPr>
      <w:spacing w:val="20"/>
    </w:rPr>
  </w:style>
  <w:style w:type="character" w:styleId="PAGENOChar" w:customStyle="1">
    <w:name w:val="PAGE NO. Char"/>
    <w:basedOn w:val="DefaultParagraphFont"/>
    <w:link w:val="PAGENO"/>
    <w:rsid w:val="0042003F"/>
    <w:rPr>
      <w:rFonts w:asciiTheme="minorHAnsi" w:cstheme="minorHAnsi" w:hAnsiTheme="minorHAnsi"/>
      <w:spacing w:val="20"/>
    </w:rPr>
  </w:style>
  <w:style w:type="table" w:styleId="GridTable4-Accent2">
    <w:name w:val="Grid Table 4 Accent 2"/>
    <w:basedOn w:val="TableNormal"/>
    <w:uiPriority w:val="49"/>
    <w:rsid w:val="00CB4AE8"/>
    <w:tblPr>
      <w:tblStyleRowBandSize w:val="1"/>
      <w:tblStyleColBandSize w:val="1"/>
      <w:tblBorders>
        <w:top w:color="c1f9ac" w:space="0" w:sz="4" w:themeColor="accent2" w:themeTint="000099" w:val="single"/>
        <w:left w:color="c1f9ac" w:space="0" w:sz="4" w:themeColor="accent2" w:themeTint="000099" w:val="single"/>
        <w:bottom w:color="c1f9ac" w:space="0" w:sz="4" w:themeColor="accent2" w:themeTint="000099" w:val="single"/>
        <w:right w:color="c1f9ac" w:space="0" w:sz="4" w:themeColor="accent2" w:themeTint="000099" w:val="single"/>
        <w:insideH w:color="c1f9ac" w:space="0" w:sz="4" w:themeColor="accent2" w:themeTint="000099" w:val="single"/>
        <w:insideV w:color="c1f9ac" w:space="0" w:sz="4" w:themeColor="accent2" w:themeTint="000099" w:val="single"/>
      </w:tblBorders>
    </w:tblPr>
    <w:tblStylePr w:type="firstRow">
      <w:rPr>
        <w:b w:val="1"/>
        <w:bCs w:val="1"/>
        <w:color w:val="ffffff" w:themeColor="background1"/>
      </w:rPr>
      <w:tblPr/>
      <w:tcPr>
        <w:tcBorders>
          <w:top w:color="98f576" w:space="0" w:sz="4" w:themeColor="accent2" w:val="single"/>
          <w:left w:color="98f576" w:space="0" w:sz="4" w:themeColor="accent2" w:val="single"/>
          <w:bottom w:color="98f576" w:space="0" w:sz="4" w:themeColor="accent2" w:val="single"/>
          <w:right w:color="98f576" w:space="0" w:sz="4" w:themeColor="accent2" w:val="single"/>
          <w:insideH w:space="0" w:sz="0" w:val="nil"/>
          <w:insideV w:space="0" w:sz="0" w:val="nil"/>
        </w:tcBorders>
        <w:shd w:color="auto" w:fill="98f576" w:themeFill="accent2" w:val="clear"/>
      </w:tcPr>
    </w:tblStylePr>
    <w:tblStylePr w:type="lastRow">
      <w:rPr>
        <w:b w:val="1"/>
        <w:bCs w:val="1"/>
      </w:rPr>
      <w:tblPr/>
      <w:tcPr>
        <w:tcBorders>
          <w:top w:color="98f576" w:space="0" w:sz="4" w:themeColor="accent2" w:val="double"/>
        </w:tcBorders>
      </w:tcPr>
    </w:tblStylePr>
    <w:tblStylePr w:type="firstCol">
      <w:rPr>
        <w:b w:val="1"/>
        <w:bCs w:val="1"/>
      </w:rPr>
    </w:tblStylePr>
    <w:tblStylePr w:type="lastCol">
      <w:rPr>
        <w:b w:val="1"/>
        <w:bCs w:val="1"/>
      </w:rPr>
    </w:tblStylePr>
    <w:tblStylePr w:type="band1Vert">
      <w:tblPr/>
      <w:tcPr>
        <w:shd w:color="auto" w:fill="eafde3" w:themeFill="accent2" w:themeFillTint="000033" w:val="clear"/>
      </w:tcPr>
    </w:tblStylePr>
    <w:tblStylePr w:type="band1Horz">
      <w:tblPr/>
      <w:tcPr>
        <w:shd w:color="auto" w:fill="eafde3" w:themeFill="accent2" w:themeFillTint="000033" w:val="clear"/>
      </w:tcPr>
    </w:tblStylePr>
  </w:style>
  <w:style w:type="table" w:styleId="GridTable5Dark-Accent1">
    <w:name w:val="Grid Table 5 Dark Accent 1"/>
    <w:basedOn w:val="TableNormal"/>
    <w:uiPriority w:val="50"/>
    <w:rsid w:val="00CB4AE8"/>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9f6ce" w:themeFill="accent1"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4ebc22" w:themeFill="accent1"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4ebc22" w:themeFill="accent1"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4ebc22" w:themeFill="accent1"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4ebc22" w:themeFill="accent1" w:val="clear"/>
      </w:tcPr>
    </w:tblStylePr>
    <w:tblStylePr w:type="band1Vert">
      <w:tblPr/>
      <w:tcPr>
        <w:shd w:color="auto" w:fill="b3ed9d" w:themeFill="accent1" w:themeFillTint="000066" w:val="clear"/>
      </w:tcPr>
    </w:tblStylePr>
    <w:tblStylePr w:type="band1Horz">
      <w:tblPr/>
      <w:tcPr>
        <w:shd w:color="auto" w:fill="b3ed9d" w:themeFill="accent1" w:themeFillTint="000066" w:val="clear"/>
      </w:tcPr>
    </w:tblStylePr>
  </w:style>
  <w:style w:type="character" w:styleId="UnresolvedMention">
    <w:name w:val="Unresolved Mention"/>
    <w:basedOn w:val="DefaultParagraphFont"/>
    <w:uiPriority w:val="99"/>
    <w:semiHidden w:val="1"/>
    <w:unhideWhenUsed w:val="1"/>
    <w:rsid w:val="00F974EE"/>
    <w:rPr>
      <w:color w:val="605e5c"/>
      <w:shd w:color="auto" w:fill="e1dfdd" w:val="clear"/>
    </w:rPr>
  </w:style>
  <w:style w:type="table" w:styleId="GridTable5Dark-Accent2">
    <w:name w:val="Grid Table 5 Dark Accent 2"/>
    <w:basedOn w:val="TableNormal"/>
    <w:uiPriority w:val="50"/>
    <w:rsid w:val="006547D1"/>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afde3" w:themeFill="accent2"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98f576" w:themeFill="accent2"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98f576" w:themeFill="accent2"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98f576" w:themeFill="accent2"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98f576" w:themeFill="accent2" w:val="clear"/>
      </w:tcPr>
    </w:tblStylePr>
    <w:tblStylePr w:type="band1Vert">
      <w:tblPr/>
      <w:tcPr>
        <w:shd w:color="auto" w:fill="d5fbc8" w:themeFill="accent2" w:themeFillTint="000066" w:val="clear"/>
      </w:tcPr>
    </w:tblStylePr>
    <w:tblStylePr w:type="band1Horz">
      <w:tblPr/>
      <w:tcPr>
        <w:shd w:color="auto" w:fill="d5fbc8" w:themeFill="accent2" w:themeFillTint="000066" w:val="clear"/>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8">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6">
    <w:basedOn w:val="TableNormal"/>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xx.com/redirect?url=http://evil.com" TargetMode="External"/><Relationship Id="rId22" Type="http://schemas.openxmlformats.org/officeDocument/2006/relationships/hyperlink" Target="https://cheatsheetseries.owasp.org/cheatsheets/Unvalidated_Redirects_and_Forwards_Cheat_Sheet.html" TargetMode="External"/><Relationship Id="rId21" Type="http://schemas.openxmlformats.org/officeDocument/2006/relationships/image" Target="media/image10.png"/><Relationship Id="rId24" Type="http://schemas.openxmlformats.org/officeDocument/2006/relationships/image" Target="media/image1.jpg"/><Relationship Id="rId23" Type="http://schemas.openxmlformats.org/officeDocument/2006/relationships/hyperlink" Target="https://portswigger.net/kb/issues/00500100_open-redirection-reflec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est.com/user/password/reset" TargetMode="External"/><Relationship Id="rId26" Type="http://schemas.openxmlformats.org/officeDocument/2006/relationships/image" Target="media/image9.png"/><Relationship Id="rId25" Type="http://schemas.openxmlformats.org/officeDocument/2006/relationships/hyperlink" Target="https://trusted.com" TargetMode="External"/><Relationship Id="rId28" Type="http://schemas.openxmlformats.org/officeDocument/2006/relationships/hyperlink" Target="https://dev.to/luwadev/handling-browser-storage-cookies-local-storage-session-storage-33h9#:~:text=Sensitive%20data%20stored%20in%20session,or%20compromises%20the%20browser%20session" TargetMode="External"/><Relationship Id="rId27" Type="http://schemas.openxmlformats.org/officeDocument/2006/relationships/hyperlink" Target="https://cheatsheetseries.owasp.org/cheatsheets/Session_Management_Cheat_Sheet.html"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1.xml"/><Relationship Id="rId7" Type="http://schemas.openxmlformats.org/officeDocument/2006/relationships/image" Target="media/image12.png"/><Relationship Id="rId8" Type="http://schemas.openxmlformats.org/officeDocument/2006/relationships/image" Target="media/image2.png"/><Relationship Id="rId31" Type="http://schemas.openxmlformats.org/officeDocument/2006/relationships/header" Target="header3.xml"/><Relationship Id="rId30" Type="http://schemas.openxmlformats.org/officeDocument/2006/relationships/header" Target="header2.xml"/><Relationship Id="rId11" Type="http://schemas.openxmlformats.org/officeDocument/2006/relationships/image" Target="media/image8.png"/><Relationship Id="rId33" Type="http://schemas.openxmlformats.org/officeDocument/2006/relationships/footer" Target="footer2.xml"/><Relationship Id="rId10" Type="http://schemas.openxmlformats.org/officeDocument/2006/relationships/image" Target="media/image3.png"/><Relationship Id="rId32" Type="http://schemas.openxmlformats.org/officeDocument/2006/relationships/footer" Target="footer1.xml"/><Relationship Id="rId13" Type="http://schemas.openxmlformats.org/officeDocument/2006/relationships/hyperlink" Target="https://portswigger.net/web-security/access-control#how-to-prevent-access-control-vulnerabilities" TargetMode="External"/><Relationship Id="rId12" Type="http://schemas.openxmlformats.org/officeDocument/2006/relationships/image" Target="media/image6.png"/><Relationship Id="rId34" Type="http://schemas.openxmlformats.org/officeDocument/2006/relationships/footer" Target="footer3.xml"/><Relationship Id="rId15" Type="http://schemas.openxmlformats.org/officeDocument/2006/relationships/hyperlink" Target="https://test.com/user/password/reset" TargetMode="External"/><Relationship Id="rId14" Type="http://schemas.openxmlformats.org/officeDocument/2006/relationships/hyperlink" Target="https://www.acunetix.com/blog/web-security-zone/what-is-privilege-escalation/" TargetMode="External"/><Relationship Id="rId17" Type="http://schemas.openxmlformats.org/officeDocument/2006/relationships/image" Target="media/image5.png"/><Relationship Id="rId16" Type="http://schemas.openxmlformats.org/officeDocument/2006/relationships/image" Target="media/image11.png"/><Relationship Id="rId19" Type="http://schemas.openxmlformats.org/officeDocument/2006/relationships/hyperlink" Target="https://owasp.org/www-project-web-security-testing-guide/v42/4-Web_Application_Security_Testing/07-Input_Validation_Testing/17-Testing_for_Host_Header_Injection" TargetMode="External"/><Relationship Id="rId18" Type="http://schemas.openxmlformats.org/officeDocument/2006/relationships/hyperlink" Target="https://owasp.org/www-project-web-security-testing-guide/latest/4-Web_Application_Security_Testing/07-Input_Validation_Testing/17-Testing_for_Host_Header_Injec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Black-bold.ttf"/><Relationship Id="rId2" Type="http://schemas.openxmlformats.org/officeDocument/2006/relationships/font" Target="fonts/RobotoBlack-boldItalic.ttf"/><Relationship Id="rId3" Type="http://schemas.openxmlformats.org/officeDocument/2006/relationships/font" Target="fonts/Roboto-regular.ttf"/><Relationship Id="rId4" Type="http://schemas.openxmlformats.org/officeDocument/2006/relationships/font" Target="fonts/Roboto-bold.ttf"/><Relationship Id="rId11" Type="http://schemas.openxmlformats.org/officeDocument/2006/relationships/font" Target="fonts/NotoSansSymbols-regular.ttf"/><Relationship Id="rId10" Type="http://schemas.openxmlformats.org/officeDocument/2006/relationships/font" Target="fonts/RobotoMedium-boldItalic.ttf"/><Relationship Id="rId12" Type="http://schemas.openxmlformats.org/officeDocument/2006/relationships/font" Target="fonts/NotoSansSymbols-bold.ttf"/><Relationship Id="rId9" Type="http://schemas.openxmlformats.org/officeDocument/2006/relationships/font" Target="fonts/RobotoMedium-italic.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RobotoMedium-regular.ttf"/><Relationship Id="rId8" Type="http://schemas.openxmlformats.org/officeDocument/2006/relationships/font" Target="fonts/RobotoMedium-bold.ttf"/></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2.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Securify">
      <a:dk1>
        <a:sysClr val="windowText" lastClr="000000"/>
      </a:dk1>
      <a:lt1>
        <a:sysClr val="window" lastClr="FFFFFF"/>
      </a:lt1>
      <a:dk2>
        <a:srgbClr val="2C3C43"/>
      </a:dk2>
      <a:lt2>
        <a:srgbClr val="EBEBEB"/>
      </a:lt2>
      <a:accent1>
        <a:srgbClr val="4EBC22"/>
      </a:accent1>
      <a:accent2>
        <a:srgbClr val="98F576"/>
      </a:accent2>
      <a:accent3>
        <a:srgbClr val="0F0F0F"/>
      </a:accent3>
      <a:accent4>
        <a:srgbClr val="98F576"/>
      </a:accent4>
      <a:accent5>
        <a:srgbClr val="6CCC76"/>
      </a:accent5>
      <a:accent6>
        <a:srgbClr val="0F0F0F"/>
      </a:accent6>
      <a:hlink>
        <a:srgbClr val="99CA3C"/>
      </a:hlink>
      <a:folHlink>
        <a:srgbClr val="B9D181"/>
      </a:folHlink>
    </a:clrScheme>
    <a:fontScheme name="ROBOTO">
      <a:majorFont>
        <a:latin typeface="Roboto Black"/>
        <a:ea typeface=""/>
        <a:cs typeface=""/>
      </a:majorFont>
      <a:minorFont>
        <a:latin typeface="Robot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i91HXiV40e22K6kQQE5DChgUpA==">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2024-05-26T07:15:00Z</dcterms:created>
  <dc:creator>Dawood 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0x010100FD604C3B73AE9943B737720A48E3AF7C</vt:lpwstr>
  </property>
  <property fmtid="{D5CDD505-2E9C-101B-9397-08002B2CF9AE}" pid="4" name="DocSecurity">
    <vt:lpwstr>0.0</vt:lpwstr>
  </property>
  <property fmtid="{D5CDD505-2E9C-101B-9397-08002B2CF9AE}" pid="5" name="HyperlinksChanged">
    <vt:lpwstr>false</vt:lpwstr>
  </property>
  <property fmtid="{D5CDD505-2E9C-101B-9397-08002B2CF9AE}" pid="6" name="LinksUpToDate">
    <vt:lpwstr>false</vt:lpwstr>
  </property>
  <property fmtid="{D5CDD505-2E9C-101B-9397-08002B2CF9AE}" pid="7" name="ScaleCrop">
    <vt:lpwstr>false</vt:lpwstr>
  </property>
  <property fmtid="{D5CDD505-2E9C-101B-9397-08002B2CF9AE}" pid="8" name="ShareDoc">
    <vt:lpwstr>false</vt:lpwstr>
  </property>
  <property fmtid="{D5CDD505-2E9C-101B-9397-08002B2CF9AE}" pid="9" name="MSIP_Label_7bc792f8-6d75-423a-9981-629281829092_Enabled">
    <vt:lpwstr>True</vt:lpwstr>
  </property>
  <property fmtid="{D5CDD505-2E9C-101B-9397-08002B2CF9AE}" pid="10" name="MSIP_Label_7bc792f8-6d75-423a-9981-629281829092_SiteId">
    <vt:lpwstr>3ded2960-214a-46ff-8cf4-611f125e2398</vt:lpwstr>
  </property>
  <property fmtid="{D5CDD505-2E9C-101B-9397-08002B2CF9AE}" pid="11" name="MSIP_Label_7bc792f8-6d75-423a-9981-629281829092_Owner">
    <vt:lpwstr>Satya.Shrikanth@LloydsBanking.com</vt:lpwstr>
  </property>
  <property fmtid="{D5CDD505-2E9C-101B-9397-08002B2CF9AE}" pid="12" name="MSIP_Label_7bc792f8-6d75-423a-9981-629281829092_SetDate">
    <vt:lpwstr>2020-07-03T11:52:38.0519895Z</vt:lpwstr>
  </property>
  <property fmtid="{D5CDD505-2E9C-101B-9397-08002B2CF9AE}" pid="13" name="MSIP_Label_7bc792f8-6d75-423a-9981-629281829092_Name">
    <vt:lpwstr>Limited</vt:lpwstr>
  </property>
  <property fmtid="{D5CDD505-2E9C-101B-9397-08002B2CF9AE}" pid="14" name="MSIP_Label_7bc792f8-6d75-423a-9981-629281829092_Application">
    <vt:lpwstr>Microsoft Azure Information Protection</vt:lpwstr>
  </property>
  <property fmtid="{D5CDD505-2E9C-101B-9397-08002B2CF9AE}" pid="15" name="MSIP_Label_7bc792f8-6d75-423a-9981-629281829092_ActionId">
    <vt:lpwstr>50252a51-2ef9-4340-a0d9-8f189c0f857e</vt:lpwstr>
  </property>
  <property fmtid="{D5CDD505-2E9C-101B-9397-08002B2CF9AE}" pid="16" name="MSIP_Label_7bc792f8-6d75-423a-9981-629281829092_Extended_MSFT_Method">
    <vt:lpwstr>Manual</vt:lpwstr>
  </property>
  <property fmtid="{D5CDD505-2E9C-101B-9397-08002B2CF9AE}" pid="17" name="MSIP_Label_b9a70571-31c6-4603-80c1-ef2fb871a62a_Enabled">
    <vt:lpwstr>True</vt:lpwstr>
  </property>
  <property fmtid="{D5CDD505-2E9C-101B-9397-08002B2CF9AE}" pid="18" name="MSIP_Label_b9a70571-31c6-4603-80c1-ef2fb871a62a_SiteId">
    <vt:lpwstr>258ac4e4-146a-411e-9dc8-79a9e12fd6da</vt:lpwstr>
  </property>
  <property fmtid="{D5CDD505-2E9C-101B-9397-08002B2CF9AE}" pid="19" name="MSIP_Label_b9a70571-31c6-4603-80c1-ef2fb871a62a_Owner">
    <vt:lpwstr>TU20040423@wipro.com</vt:lpwstr>
  </property>
  <property fmtid="{D5CDD505-2E9C-101B-9397-08002B2CF9AE}" pid="20" name="MSIP_Label_b9a70571-31c6-4603-80c1-ef2fb871a62a_SetDate">
    <vt:lpwstr>2020-05-31T18:49:28.1599838Z</vt:lpwstr>
  </property>
  <property fmtid="{D5CDD505-2E9C-101B-9397-08002B2CF9AE}" pid="21" name="MSIP_Label_b9a70571-31c6-4603-80c1-ef2fb871a62a_Name">
    <vt:lpwstr>Internal and Restricted</vt:lpwstr>
  </property>
  <property fmtid="{D5CDD505-2E9C-101B-9397-08002B2CF9AE}" pid="22" name="MSIP_Label_b9a70571-31c6-4603-80c1-ef2fb871a62a_Application">
    <vt:lpwstr>Microsoft Azure Information Protection</vt:lpwstr>
  </property>
  <property fmtid="{D5CDD505-2E9C-101B-9397-08002B2CF9AE}" pid="23" name="MSIP_Label_b9a70571-31c6-4603-80c1-ef2fb871a62a_ActionId">
    <vt:lpwstr>56d92ea6-5057-412a-9433-92ead05ecc61</vt:lpwstr>
  </property>
  <property fmtid="{D5CDD505-2E9C-101B-9397-08002B2CF9AE}" pid="24" name="MSIP_Label_b9a70571-31c6-4603-80c1-ef2fb871a62a_Extended_MSFT_Method">
    <vt:lpwstr>Automatic</vt:lpwstr>
  </property>
  <property fmtid="{D5CDD505-2E9C-101B-9397-08002B2CF9AE}" pid="25" name="GrammarlyDocumentId">
    <vt:lpwstr>b25244bfa81683be8b655022c77c90991e2a74fa90533d4a483665eb00836840</vt:lpwstr>
  </property>
  <property fmtid="{D5CDD505-2E9C-101B-9397-08002B2CF9AE}" pid="26" name="MSIP_Label_defa4170-0d19-0005-0004-bc88714345d2_Enabled">
    <vt:lpwstr>true</vt:lpwstr>
  </property>
  <property fmtid="{D5CDD505-2E9C-101B-9397-08002B2CF9AE}" pid="27" name="MSIP_Label_defa4170-0d19-0005-0004-bc88714345d2_SetDate">
    <vt:lpwstr>2024-05-13T19:03:33Z</vt:lpwstr>
  </property>
  <property fmtid="{D5CDD505-2E9C-101B-9397-08002B2CF9AE}" pid="28" name="MSIP_Label_defa4170-0d19-0005-0004-bc88714345d2_Method">
    <vt:lpwstr>Standard</vt:lpwstr>
  </property>
  <property fmtid="{D5CDD505-2E9C-101B-9397-08002B2CF9AE}" pid="29" name="MSIP_Label_defa4170-0d19-0005-0004-bc88714345d2_Name">
    <vt:lpwstr>defa4170-0d19-0005-0004-bc88714345d2</vt:lpwstr>
  </property>
  <property fmtid="{D5CDD505-2E9C-101B-9397-08002B2CF9AE}" pid="30" name="MSIP_Label_defa4170-0d19-0005-0004-bc88714345d2_SiteId">
    <vt:lpwstr>3c4b8c96-a848-4ee1-b2c2-a9c3c9f4be1c</vt:lpwstr>
  </property>
  <property fmtid="{D5CDD505-2E9C-101B-9397-08002B2CF9AE}" pid="31" name="MSIP_Label_defa4170-0d19-0005-0004-bc88714345d2_ActionId">
    <vt:lpwstr>c2f59c78-9fab-4717-b2ba-7037b13e54bd</vt:lpwstr>
  </property>
  <property fmtid="{D5CDD505-2E9C-101B-9397-08002B2CF9AE}" pid="32" name="MSIP_Label_defa4170-0d19-0005-0004-bc88714345d2_ContentBits">
    <vt:lpwstr>0</vt:lpwstr>
  </property>
</Properties>
</file>