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10,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As part of an ongoing security program, </w:t>
      </w:r>
      <w:r>
        <w:rPr>
          <w:b w:val="1"/>
          <w:bCs w:val="1"/>
          <w:color w:val="000000"/>
        </w:rPr>
        <w:t xml:space="preserve">Swiftdigital</w:t>
      </w:r>
      <w:r>
        <w:rPr>
          <w:color w:val="000000"/>
        </w:rPr>
        <w:t xml:space="preserve">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This report presents the agreed scope, methodology, risk measurement model, summarized findings, and detailed technical observations for the selected assessment window.</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i w:val="1"/>
          <w:iCs w:val="1"/>
        </w:rPr>
        <w:t xml:space="preserve">_The following lists the objectives of this assessment:_</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i w:val="1"/>
          <w:iCs w:val="1"/>
        </w:rPr>
        <w:t xml:space="preserve">_This report includes the following parameters and results of the assessment:_</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Swiftdigital's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07, 2026 and May 28, 2026. The re-assessment was conducted between May 07, 2026 and May 28,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Securify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Impact: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Likelihood: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Likelihood: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Likelihood: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