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PartName="/word/media/riskmatrix.jpeg" ContentType="image/jpeg"/>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7">
      <w:pPr>
        <w:tabs>
          <w:tab w:val="right" w:leader="none" w:pos="9360"/>
          <w:tab w:val="right" w:leader="none" w:pos="9360"/>
          <w:tab w:val="right" w:leader="none" w:pos="9360"/>
          <w:tab w:val="right" w:leader="none" w:pos="9360"/>
          <w:tab w:val="right" w:leader="none" w:pos="9360"/>
          <w:tab w:val="right" w:leader="none" w:pos="9360"/>
        </w:tabs>
        <w:ind w:firstLine="0"/>
        <w:rPr>
          <w:color w:val="000000"/>
        </w:rPr>
      </w:pPr>
      <w:r w:rsidDel="00000000" w:rsidR="00000000" w:rsidRPr="00000000">
        <w:rPr>
          <w:rtl w:val="0"/>
        </w:rPr>
      </w:r>
    </w:p>
    <w:p w:rsidR="00000000" w:rsidDel="00000000" w:rsidP="00000000" w:rsidRDefault="00000000" w:rsidRPr="00000000" w14:paraId="0000000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E">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rFonts w:ascii="Roboto Black" w:cs="Roboto Black" w:eastAsia="Roboto Black" w:hAnsi="Roboto Black"/>
          <w:color w:val="4ebc22"/>
          <w:sz w:val="64"/>
          <w:szCs w:val="64"/>
        </w:rPr>
        <w:spacing w:before="520"/>
      </w:pPr>
      <w:r w:rsidDel="00000000" w:rsidR="00000000" w:rsidRPr="00000000">
        <w:rPr>
          <w:rFonts w:ascii="Roboto Black" w:cs="Roboto Black" w:eastAsia="Roboto Black" w:hAnsi="Roboto Black"/>
          <w:color w:val="4ebc22"/>
          <w:sz w:val="64"/>
          <w:szCs w:val="64"/>
          <w:rtl w:val="0"/>
        </w:rPr>
        <w:t xml:space="preserve">Nitin</w:t>
      </w:r>
      <w:r w:rsidDel="00000000" w:rsidR="00000000" w:rsidRPr="00000000">
        <w:rPr>
          <w:rtl w:val="0"/>
        </w:rPr>
      </w:r>
    </w:p>
    <w:p w:rsidR="00000000" w:rsidDel="00000000" w:rsidP="00000000" w:rsidRDefault="00000000" w:rsidRPr="00000000" w14:paraId="0000001F">
      <w:pPr>
        <w:tabs>
          <w:tab w:val="right" w:leader="none" w:pos="9360"/>
          <w:tab w:val="right" w:leader="none" w:pos="9360"/>
          <w:tab w:val="right" w:leader="none" w:pos="9360"/>
          <w:tab w:val="right" w:leader="none" w:pos="9360"/>
          <w:tab w:val="right" w:leader="none" w:pos="9360"/>
          <w:tab w:val="right" w:leader="none" w:pos="9360"/>
        </w:tabs>
        <w:ind w:firstLine="0"/>
        <w:jc w:val="center"/>
        <w:rPr>
          <w:rFonts w:ascii="Roboto Black" w:cs="Roboto Black" w:eastAsia="Roboto Black" w:hAnsi="Roboto Black"/>
          <w:sz w:val="34"/>
          <w:szCs w:val="34"/>
        </w:rPr>
      </w:pPr>
      <w:r w:rsidDel="00000000" w:rsidR="00000000" w:rsidRPr="00000000">
        <w:rPr>
          <w:rFonts w:ascii="Roboto Black" w:cs="Roboto Black" w:eastAsia="Roboto Black" w:hAnsi="Roboto Black"/>
          <w:sz w:val="34"/>
          <w:szCs w:val="34"/>
          <w:rtl w:val="0"/>
        </w:rPr>
        <w:t xml:space="preserve">testing</w:t>
      </w:r>
    </w:p>
    <w:p w:rsidR="00000000" w:rsidDel="00000000" w:rsidP="00000000" w:rsidRDefault="00000000" w:rsidRPr="00000000" w14:paraId="00000020">
      <w:pPr>
        <w:tabs>
          <w:tab w:val="right" w:leader="none" w:pos="9360"/>
          <w:tab w:val="right" w:leader="none" w:pos="9360"/>
          <w:tab w:val="right" w:leader="none" w:pos="9360"/>
          <w:tab w:val="right" w:leader="none" w:pos="9360"/>
          <w:tab w:val="right" w:leader="none" w:pos="9360"/>
          <w:tab w:val="right" w:leader="none" w:pos="9360"/>
        </w:tabs>
        <w:ind w:firstLine="0"/>
        <w:jc w:val="cente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1957388</wp:posOffset>
                </wp:positionH>
                <wp:positionV relativeFrom="page">
                  <wp:posOffset>8707510</wp:posOffset>
                </wp:positionV>
                <wp:extent cx="1842630" cy="647700"/>
                <wp:effectExtent b="0" l="0" r="0" t="0"/>
                <wp:wrapNone/>
                <wp:docPr id="1823659468" name=""/>
                <a:graphic>
                  <a:graphicData uri="http://schemas.microsoft.com/office/word/2010/wordprocessingShape">
                    <wps:wsp>
                      <wps:cNvSpPr/>
                      <wps:cNvPr id="16" name="Shape 16"/>
                      <wps:spPr>
                        <a:xfrm flipH="1">
                          <a:off x="4453260" y="3484725"/>
                          <a:ext cx="1785480" cy="590550"/>
                        </a:xfrm>
                        <a:custGeom>
                          <a:rect b="b" l="l" r="r" t="t"/>
                          <a:pathLst>
                            <a:path extrusionOk="0" h="271582" w="820223">
                              <a:moveTo>
                                <a:pt x="687093" y="0"/>
                              </a:moveTo>
                              <a:cubicBezTo>
                                <a:pt x="724055" y="0"/>
                                <a:pt x="755483" y="12681"/>
                                <a:pt x="781379" y="38044"/>
                              </a:cubicBezTo>
                              <a:cubicBezTo>
                                <a:pt x="807273" y="63408"/>
                                <a:pt x="820222" y="94150"/>
                                <a:pt x="820223" y="130271"/>
                              </a:cubicBezTo>
                              <a:cubicBezTo>
                                <a:pt x="820223" y="167218"/>
                                <a:pt x="807241" y="198406"/>
                                <a:pt x="781277" y="223836"/>
                              </a:cubicBezTo>
                              <a:cubicBezTo>
                                <a:pt x="755314" y="249267"/>
                                <a:pt x="723920" y="261983"/>
                                <a:pt x="687094" y="261983"/>
                              </a:cubicBezTo>
                              <a:cubicBezTo>
                                <a:pt x="650852" y="261983"/>
                                <a:pt x="620076" y="249327"/>
                                <a:pt x="594765" y="224016"/>
                              </a:cubicBezTo>
                              <a:cubicBezTo>
                                <a:pt x="582110" y="211361"/>
                                <a:pt x="572619" y="197221"/>
                                <a:pt x="566291" y="181597"/>
                              </a:cubicBezTo>
                              <a:lnTo>
                                <a:pt x="565371" y="176617"/>
                              </a:lnTo>
                              <a:lnTo>
                                <a:pt x="266041" y="176616"/>
                              </a:lnTo>
                              <a:lnTo>
                                <a:pt x="264022" y="252723"/>
                              </a:lnTo>
                              <a:cubicBezTo>
                                <a:pt x="264022" y="263499"/>
                                <a:pt x="255939" y="271582"/>
                                <a:pt x="245163" y="271582"/>
                              </a:cubicBezTo>
                              <a:lnTo>
                                <a:pt x="188587" y="271581"/>
                              </a:lnTo>
                              <a:cubicBezTo>
                                <a:pt x="177810" y="271581"/>
                                <a:pt x="169728" y="263499"/>
                                <a:pt x="169728" y="252722"/>
                              </a:cubicBezTo>
                              <a:lnTo>
                                <a:pt x="169727" y="175941"/>
                              </a:lnTo>
                              <a:lnTo>
                                <a:pt x="132010" y="175941"/>
                              </a:lnTo>
                              <a:lnTo>
                                <a:pt x="132011" y="223087"/>
                              </a:lnTo>
                              <a:cubicBezTo>
                                <a:pt x="132011" y="233864"/>
                                <a:pt x="123929" y="241946"/>
                                <a:pt x="113153" y="241946"/>
                              </a:cubicBezTo>
                              <a:lnTo>
                                <a:pt x="75435" y="241946"/>
                              </a:lnTo>
                              <a:cubicBezTo>
                                <a:pt x="64659" y="241946"/>
                                <a:pt x="56576" y="233863"/>
                                <a:pt x="56576" y="223087"/>
                              </a:cubicBezTo>
                              <a:lnTo>
                                <a:pt x="56577" y="175940"/>
                              </a:lnTo>
                              <a:lnTo>
                                <a:pt x="18859" y="175940"/>
                              </a:lnTo>
                              <a:cubicBezTo>
                                <a:pt x="8083" y="175940"/>
                                <a:pt x="1" y="167857"/>
                                <a:pt x="1" y="157081"/>
                              </a:cubicBezTo>
                              <a:lnTo>
                                <a:pt x="0" y="100506"/>
                              </a:lnTo>
                              <a:cubicBezTo>
                                <a:pt x="0" y="89730"/>
                                <a:pt x="8082" y="81648"/>
                                <a:pt x="18858" y="81648"/>
                              </a:cubicBezTo>
                              <a:lnTo>
                                <a:pt x="566184" y="80337"/>
                              </a:lnTo>
                              <a:lnTo>
                                <a:pt x="566266" y="79899"/>
                              </a:lnTo>
                              <a:cubicBezTo>
                                <a:pt x="572577" y="64498"/>
                                <a:pt x="582043" y="50486"/>
                                <a:pt x="594665" y="37864"/>
                              </a:cubicBezTo>
                              <a:cubicBezTo>
                                <a:pt x="619908" y="12621"/>
                                <a:pt x="650718" y="1"/>
                                <a:pt x="687093" y="0"/>
                              </a:cubicBezTo>
                              <a:close/>
                            </a:path>
                          </a:pathLst>
                        </a:cu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1957388</wp:posOffset>
                </wp:positionH>
                <wp:positionV relativeFrom="page">
                  <wp:posOffset>8707510</wp:posOffset>
                </wp:positionV>
                <wp:extent cx="1842630" cy="647700"/>
                <wp:effectExtent b="0" l="0" r="0" t="0"/>
                <wp:wrapNone/>
                <wp:docPr id="1823659468"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842630" cy="647700"/>
                        </a:xfrm>
                        <a:prstGeom prst="rect"/>
                        <a:ln/>
                      </pic:spPr>
                    </pic:pic>
                  </a:graphicData>
                </a:graphic>
              </wp:anchor>
            </w:drawing>
          </mc:Fallback>
        </mc:AlternateContent>
      </w:r>
      <w:r w:rsidDel="00000000" w:rsidR="00000000" w:rsidRPr="00000000">
        <w:rPr>
          <w:rtl w:val="0"/>
        </w:rPr>
        <w:t xml:space="preserve">May 14, 2026</w:t>
      </w:r>
      <w:r w:rsidDel="00000000" w:rsidR="00000000" w:rsidRPr="00000000">
        <w:rPr>
          <w:rtl w:val="0"/>
        </w:rPr>
      </w:r>
    </w:p>
    <w:p w:rsidR="00000000" w:rsidDel="00000000" w:rsidP="00000000" w:rsidRDefault="00000000" w:rsidRPr="00000000" w14:paraId="00000021">
      <w:pPr>
        <w:tabs>
          <w:tab w:val="right" w:leader="none" w:pos="9360"/>
          <w:tab w:val="right" w:leader="none" w:pos="9360"/>
          <w:tab w:val="right" w:leader="none" w:pos="9360"/>
          <w:tab w:val="right" w:leader="none" w:pos="9360"/>
          <w:tab w:val="right" w:leader="none" w:pos="9360"/>
          <w:tab w:val="right" w:leader="none" w:pos="9360"/>
        </w:tabs>
        <w:ind w:firstLine="0"/>
        <w:jc w:val="center"/>
        <w:rPr/>
      </w:pPr>
      <w:r w:rsidDel="00000000" w:rsidR="00000000" w:rsidRPr="00000000">
        <w:rPr>
          <w:rtl w:val="0"/>
        </w:rPr>
      </w:r>
    </w:p>
    <w:p w:rsidR="00000000" w:rsidDel="00000000" w:rsidP="00000000" w:rsidRDefault="00000000" w:rsidRPr="00000000" w14:paraId="0000002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2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24">
      <w:pPr>
        <w:tabs>
          <w:tab w:val="right" w:leader="none" w:pos="9360"/>
          <w:tab w:val="right" w:leader="none" w:pos="9360"/>
        </w:tabs>
        <w:jc w:val="left"/>
        <w:rPr/>
      </w:pPr>
      <w:r w:rsidDel="00000000" w:rsidR="00000000" w:rsidRPr="00000000">
        <w:rPr>
          <w:rtl w:val="0"/>
        </w:rPr>
      </w:r>
    </w:p>
    <w:p w:rsidR="00000000" w:rsidDel="00000000" w:rsidP="00000000" w:rsidRDefault="00000000" w:rsidRPr="00000000" w14:paraId="00000025">
      <w:pPr>
        <w:pageBreakBefore w:val="1"/>
        <w:pBdr>
          <w:bottom w:color="4ebc22" w:space="1" w:sz="18" w:val="single"/>
        </w:pBd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240" w:before="240" w:lineRule="auto"/>
        <w:rPr>
          <w:sz w:val="40"/>
          <w:szCs w:val="40"/>
        </w:rPr>
      </w:pPr>
      <w:r w:rsidDel="00000000" w:rsidR="00000000" w:rsidRPr="00000000">
        <w:rPr>
          <w:b w:val="1"/>
          <w:bCs w:val="1"/>
          <w:color w:val="4ebc22"/>
          <w:sz w:val="40"/>
          <w:szCs w:val="40"/>
          <w:rtl w:val="0"/>
        </w:rPr>
        <w:t xml:space="preserve">Confidentiality and Distribution Restrictions</w:t>
      </w:r>
      <w:r w:rsidDel="00000000" w:rsidR="00000000" w:rsidRPr="00000000">
        <w:rPr>
          <w:rtl w:val="0"/>
        </w:rPr>
      </w:r>
    </w:p>
    <w:p w:rsidR="00000000" w:rsidDel="00000000" w:rsidP="00000000" w:rsidRDefault="00000000" w:rsidRPr="00000000" w14:paraId="00000026">
      <w:pPr>
        <w:tabs>
          <w:tab w:val="right" w:leader="none" w:pos="9360"/>
          <w:tab w:val="right" w:leader="none" w:pos="9360"/>
        </w:tabs>
        <w:rPr/>
      </w:pPr>
      <w:r>
        <w:rPr>
          <w:color w:val="000000"/>
        </w:rPr>
        <w:t xml:space="preserve">The conclusions and recommendations in this report represent the opinions of SecurifyAI.</w:t>
      </w:r>
    </w:p>
    <w:p w:rsidR="00000000" w:rsidDel="00000000" w:rsidP="00000000" w:rsidRDefault="00000000" w:rsidRPr="00000000" w14:paraId="00000026">
      <w:pPr>
        <w:tabs>
          <w:tab w:val="right" w:leader="none" w:pos="9360"/>
          <w:tab w:val="right" w:leader="none" w:pos="9360"/>
        </w:tabs>
        <w:rPr/>
      </w:pPr>
      <w:r>
        <w:rPr>
          <w:color w:val="000000"/>
        </w:rPr>
        <w:t xml:space="preserve">Determinations of appropriate corrective action(s) are the responsibility of the entity receiving the report.</w:t>
      </w:r>
    </w:p>
    <w:p w:rsidR="00000000" w:rsidDel="00000000" w:rsidP="00000000" w:rsidRDefault="00000000" w:rsidRPr="00000000" w14:paraId="00000026">
      <w:pPr>
        <w:tabs>
          <w:tab w:val="right" w:leader="none" w:pos="9360"/>
          <w:tab w:val="right" w:leader="none" w:pos="9360"/>
        </w:tabs>
        <w:rPr/>
      </w:pPr>
      <w:r>
        <w:rPr>
          <w:color w:val="000000"/>
        </w:rPr>
        <w:t xml:space="preserve">This report and/or any other materials furnished by SecurifyAI in connection with this engagement is confidential and may not be duplicated, modified or otherwise reproduced and distributed without the express prior written consent of SecurifyAI or Nitin.</w:t>
      </w:r>
    </w:p>
    <w:p w:rsidR="00000000" w:rsidDel="00000000" w:rsidP="00000000" w:rsidRDefault="00000000" w:rsidRPr="00000000" w14:paraId="00000026">
      <w:pPr>
        <w:tabs>
          <w:tab w:val="right" w:leader="none" w:pos="9360"/>
          <w:tab w:val="right" w:leader="none" w:pos="9360"/>
        </w:tabs>
        <w:rPr/>
      </w:pPr>
      <w:r>
        <w:rPr>
          <w:color w:val="000000"/>
        </w:rPr>
        <w:t xml:space="preserve">Because this work may contain copyrighted images or other material, permission from the copyright holder may also be necessary if you wish to reproduce.</w:t>
      </w:r>
    </w:p>
    <w:p w:rsidR="00000000" w:rsidDel="00000000" w:rsidP="00000000" w:rsidRDefault="00000000" w:rsidRPr="00000000" w14:paraId="00000028">
      <w:pPr>
        <w:pStyle w:val="Heading1"/>
        <w:pageBreakBefore w:val="1"/>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Table of Contents</w:t>
      </w:r>
    </w:p>
    <w:sdt>
      <w:sdtPr>
        <w:id w:val="264380482"/>
        <w:docPartObj>
          <w:docPartGallery w:val="Table of Contents"/>
          <w:docPartUnique w:val="1"/>
        </w:docPartObj>
      </w:sdtPr>
      <w:sdtContent>
        <w:p w:rsidR="00000000" w:rsidDel="00000000" w:rsidP="00000000" w:rsidRDefault="00000000" w:rsidRPr="00000000" w14:paraId="00000029">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6,6,"</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2A">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jxsxqh">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2B">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z337ya">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Approach</w:t>
              <w:tab/>
              <w:t xml:space="preserve">5</w:t>
            </w:r>
          </w:hyperlink>
          <w:r w:rsidDel="00000000" w:rsidR="00000000" w:rsidRPr="00000000">
            <w:rPr>
              <w:rtl w:val="0"/>
            </w:rPr>
          </w:r>
        </w:p>
        <w:p w:rsidR="00000000" w:rsidDel="00000000" w:rsidP="00000000" w:rsidRDefault="00000000" w:rsidRPr="00000000" w14:paraId="0000002C">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j2qqm3">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Runtime Application Vulnerability Assessment</w:t>
              <w:tab/>
              <w:t xml:space="preserve">5</w:t>
            </w:r>
          </w:hyperlink>
          <w:r w:rsidDel="00000000" w:rsidR="00000000" w:rsidRPr="00000000">
            <w:rPr>
              <w:rtl w:val="0"/>
            </w:rPr>
          </w:r>
        </w:p>
        <w:p w:rsidR="00000000" w:rsidDel="00000000" w:rsidP="00000000" w:rsidRDefault="00000000" w:rsidRPr="00000000" w14:paraId="0000002D">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y810tw">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Scope</w:t>
              <w:tab/>
              <w:t xml:space="preserve">6</w:t>
            </w:r>
          </w:hyperlink>
          <w:r w:rsidDel="00000000" w:rsidR="00000000" w:rsidRPr="00000000">
            <w:rPr>
              <w:rtl w:val="0"/>
            </w:rPr>
          </w:r>
        </w:p>
        <w:p w:rsidR="00000000" w:rsidDel="00000000" w:rsidP="00000000" w:rsidRDefault="00000000" w:rsidRPr="00000000" w14:paraId="0000002E">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i7ojhp">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Application Details</w:t>
              <w:tab/>
              <w:t xml:space="preserve">6</w:t>
            </w:r>
          </w:hyperlink>
          <w:r w:rsidDel="00000000" w:rsidR="00000000" w:rsidRPr="00000000">
            <w:rPr>
              <w:rtl w:val="0"/>
            </w:rPr>
          </w:r>
        </w:p>
        <w:p w:rsidR="00000000" w:rsidDel="00000000" w:rsidP="00000000" w:rsidRDefault="00000000" w:rsidRPr="00000000" w14:paraId="0000002F">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xcytpi">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User Roles (Web application &amp; API)</w:t>
              <w:tab/>
              <w:t xml:space="preserve">6</w:t>
            </w:r>
          </w:hyperlink>
          <w:r w:rsidDel="00000000" w:rsidR="00000000" w:rsidRPr="00000000">
            <w:rPr>
              <w:rtl w:val="0"/>
            </w:rPr>
          </w:r>
        </w:p>
        <w:p w:rsidR="00000000" w:rsidDel="00000000" w:rsidP="00000000" w:rsidRDefault="00000000" w:rsidRPr="00000000" w14:paraId="00000030">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ci93xb">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Tools</w:t>
              <w:tab/>
              <w:t xml:space="preserve">6</w:t>
            </w:r>
          </w:hyperlink>
          <w:r w:rsidDel="00000000" w:rsidR="00000000" w:rsidRPr="00000000">
            <w:rPr>
              <w:rtl w:val="0"/>
            </w:rPr>
          </w:r>
        </w:p>
        <w:p w:rsidR="00000000" w:rsidDel="00000000" w:rsidP="00000000" w:rsidRDefault="00000000" w:rsidRPr="00000000" w14:paraId="00000031">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whwml4">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Assessment Limitation</w:t>
              <w:tab/>
              <w:t xml:space="preserve">7</w:t>
            </w:r>
          </w:hyperlink>
          <w:r w:rsidDel="00000000" w:rsidR="00000000" w:rsidRPr="00000000">
            <w:rPr>
              <w:rtl w:val="0"/>
            </w:rPr>
          </w:r>
        </w:p>
        <w:p w:rsidR="00000000" w:rsidDel="00000000" w:rsidP="00000000" w:rsidRDefault="00000000" w:rsidRPr="00000000" w14:paraId="00000032">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zqlghxj9gg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Findings and Recommendation</w:t>
              <w:tab/>
              <w:t xml:space="preserve">8</w:t>
            </w:r>
          </w:hyperlink>
          <w:r w:rsidDel="00000000" w:rsidR="00000000" w:rsidRPr="00000000">
            <w:rPr>
              <w:rtl w:val="0"/>
            </w:rPr>
          </w:r>
        </w:p>
        <w:p w:rsidR="00000000" w:rsidDel="00000000" w:rsidP="00000000" w:rsidRDefault="00000000" w:rsidRPr="00000000" w14:paraId="00000033">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sh70q">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Risk Classification</w:t>
              <w:tab/>
              <w:t xml:space="preserve">8</w:t>
            </w:r>
          </w:hyperlink>
          <w:r w:rsidDel="00000000" w:rsidR="00000000" w:rsidRPr="00000000">
            <w:rPr>
              <w:rtl w:val="0"/>
            </w:rPr>
          </w:r>
        </w:p>
        <w:p w:rsidR="00000000" w:rsidDel="00000000" w:rsidP="00000000" w:rsidRDefault="00000000" w:rsidRPr="00000000" w14:paraId="00000034">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job4txaqet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Measurement of Impact</w:t>
              <w:tab/>
              <w:t xml:space="preserve">8</w:t>
            </w:r>
          </w:hyperlink>
          <w:r w:rsidDel="00000000" w:rsidR="00000000" w:rsidRPr="00000000">
            <w:rPr>
              <w:rtl w:val="0"/>
            </w:rPr>
          </w:r>
        </w:p>
        <w:p w:rsidR="00000000" w:rsidDel="00000000" w:rsidP="00000000" w:rsidRDefault="00000000" w:rsidRPr="00000000" w14:paraId="00000035">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yf4qu3z5t7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Measurement of Likelihood</w:t>
              <w:tab/>
              <w:t xml:space="preserve">9</w:t>
            </w:r>
          </w:hyperlink>
          <w:r w:rsidDel="00000000" w:rsidR="00000000" w:rsidRPr="00000000">
            <w:rPr>
              <w:rtl w:val="0"/>
            </w:rPr>
          </w:r>
        </w:p>
        <w:p w:rsidR="00000000" w:rsidDel="00000000" w:rsidP="00000000" w:rsidRDefault="00000000" w:rsidRPr="00000000" w14:paraId="00000036">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klw5pr1a8z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Overall Risk</w:t>
              <w:tab/>
              <w:t xml:space="preserve">10</w:t>
            </w:r>
          </w:hyperlink>
          <w:r w:rsidDel="00000000" w:rsidR="00000000" w:rsidRPr="00000000">
            <w:rPr>
              <w:rtl w:val="0"/>
            </w:rPr>
          </w:r>
        </w:p>
        <w:p w:rsidR="00000000" w:rsidDel="00000000" w:rsidP="00000000" w:rsidRDefault="00000000" w:rsidRPr="00000000" w14:paraId="00000037">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p2csry">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Zero-risk Issues</w:t>
              <w:tab/>
              <w:t xml:space="preserve">10</w:t>
            </w:r>
          </w:hyperlink>
          <w:r w:rsidDel="00000000" w:rsidR="00000000" w:rsidRPr="00000000">
            <w:rPr>
              <w:rtl w:val="0"/>
            </w:rPr>
          </w:r>
        </w:p>
        <w:p w:rsidR="00000000" w:rsidDel="00000000" w:rsidP="00000000" w:rsidRDefault="00000000" w:rsidRPr="00000000" w14:paraId="00000038">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47n2z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Vulnerabilities</w:t>
              <w:tab/>
              <w:t xml:space="preserve">11</w:t>
            </w:r>
          </w:hyperlink>
          <w:r w:rsidDel="00000000" w:rsidR="00000000" w:rsidRPr="00000000">
            <w:rPr>
              <w:rtl w:val="0"/>
            </w:rPr>
          </w:r>
        </w:p>
        <w:p w:rsidR="00000000" w:rsidDel="00000000" w:rsidP="00000000" w:rsidRDefault="00000000" w:rsidRPr="00000000" w14:paraId="00000039">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o7alnk">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Summary</w:t>
              <w:tab/>
              <w:t xml:space="preserve">11</w:t>
            </w:r>
          </w:hyperlink>
          <w:r w:rsidDel="00000000" w:rsidR="00000000" w:rsidRPr="00000000">
            <w:rPr>
              <w:rtl w:val="0"/>
            </w:rPr>
          </w:r>
        </w:p>
        <w:p w:rsidR="00000000" w:rsidDel="00000000" w:rsidP="00000000" w:rsidRDefault="00000000" w:rsidRPr="00000000" w14:paraId="0000003A">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3ckvvd">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Detailed Vulnerabilities</w:t>
              <w:tab/>
              <w:t xml:space="preserve">12</w:t>
            </w:r>
          </w:hyperlink>
          <w:r w:rsidDel="00000000" w:rsidR="00000000" w:rsidRPr="00000000">
            <w:rPr>
              <w:rtl w:val="0"/>
            </w:rPr>
          </w:r>
        </w:p>
        <w:p w:rsidR="00000000" w:rsidDel="00000000" w:rsidP="00000000" w:rsidRDefault="00000000" w:rsidRPr="00000000" w14:paraId="0000003B">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cxcshn96858">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Privilege Escalation</w:t>
              <w:tab/>
              <w:t xml:space="preserve">12</w:t>
            </w:r>
          </w:hyperlink>
          <w:r w:rsidDel="00000000" w:rsidR="00000000" w:rsidRPr="00000000">
            <w:rPr>
              <w:rtl w:val="0"/>
            </w:rPr>
          </w:r>
        </w:p>
        <w:p w:rsidR="00000000" w:rsidDel="00000000" w:rsidP="00000000" w:rsidRDefault="00000000" w:rsidRPr="00000000" w14:paraId="0000003C">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pf5zhwf6r7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Takeover via Host Header Injection</w:t>
              <w:tab/>
              <w:t xml:space="preserve">15</w:t>
            </w:r>
          </w:hyperlink>
          <w:r w:rsidDel="00000000" w:rsidR="00000000" w:rsidRPr="00000000">
            <w:rPr>
              <w:rtl w:val="0"/>
            </w:rPr>
          </w:r>
        </w:p>
        <w:p w:rsidR="00000000" w:rsidDel="00000000" w:rsidP="00000000" w:rsidRDefault="00000000" w:rsidRPr="00000000" w14:paraId="0000003D">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omgnp508h1s">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Open Redirection</w:t>
              <w:tab/>
              <w:t xml:space="preserve">18</w:t>
            </w:r>
          </w:hyperlink>
          <w:r w:rsidDel="00000000" w:rsidR="00000000" w:rsidRPr="00000000">
            <w:rPr>
              <w:rtl w:val="0"/>
            </w:rPr>
          </w:r>
        </w:p>
        <w:p w:rsidR="00000000" w:rsidDel="00000000" w:rsidP="00000000" w:rsidRDefault="00000000" w:rsidRPr="00000000" w14:paraId="0000003E">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stsfaq8ioxu">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Cross-origin Resource Sharing</w:t>
              <w:tab/>
              <w:t xml:space="preserve">20</w:t>
            </w:r>
          </w:hyperlink>
          <w:r w:rsidDel="00000000" w:rsidR="00000000" w:rsidRPr="00000000">
            <w:rPr>
              <w:rtl w:val="0"/>
            </w:rPr>
          </w:r>
        </w:p>
        <w:p w:rsidR="00000000" w:rsidDel="00000000" w:rsidP="00000000" w:rsidRDefault="00000000" w:rsidRPr="00000000" w14:paraId="0000003F">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mc066f67u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Password Policy in Use</w:t>
              <w:tab/>
              <w:t xml:space="preserve">22</w:t>
            </w:r>
          </w:hyperlink>
          <w:r w:rsidDel="00000000" w:rsidR="00000000" w:rsidRPr="00000000">
            <w:rPr>
              <w:rtl w:val="0"/>
            </w:rPr>
          </w:r>
        </w:p>
        <w:p w:rsidR="00000000" w:rsidDel="00000000" w:rsidP="00000000" w:rsidRDefault="00000000" w:rsidRPr="00000000" w14:paraId="00000040">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eg1hn8ws84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A</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pageBreakBefore w:val="1"/>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2jxsxqh" w:id="1"/>
      <w:bookmarkEnd w:id="1"/>
      <w:r w:rsidDel="00000000" w:rsidR="00000000" w:rsidRPr="00000000">
        <w:rPr>
          <w:rtl w:val="0"/>
        </w:rPr>
        <w:t xml:space="preserve">Introduction</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spacing w:before="120" w:after="240"/>
      </w:pPr>
      <w:r>
        <w:rPr>
          <w:color w:val="000000"/>
        </w:rPr>
        <w:t xml:space="preserve">As part of an ongoing security program, Nitin identified the need to conduct an application security assessment of its Web application &amp; APIs.</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spacing w:before="120" w:after="240"/>
      </w:pPr>
      <w:r>
        <w:rPr>
          <w:color w:val="666666"/>
          <w:i w:val="1"/>
          <w:iCs w:val="1"/>
        </w:rPr>
        <w:t xml:space="preserve">The following lists the objectives of this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Determine the overall security posture of the application</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Provide a list of key findings and recommendations for remediation</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spacing w:before="120" w:after="240"/>
      </w:pPr>
      <w:r>
        <w:rPr>
          <w:color w:val="666666"/>
          <w:i w:val="1"/>
          <w:iCs w:val="1"/>
        </w:rPr>
        <w:t xml:space="preserve">This report includes the following parameters and results of the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SecurifyAI's approach to the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Assessment scope</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Key findings listed with their qualitative risk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Detailed recommendations for each finding</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 remediation plan</w:t>
      </w:r>
    </w:p>
    <w:p w:rsidR="00000000" w:rsidDel="00000000" w:rsidP="00000000" w:rsidRDefault="00000000" w:rsidRPr="00000000" w14:paraId="0000004F">
      <w:pPr>
        <w:pStyle w:val="Heading1"/>
        <w:pageBreakBefore w:val="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z337ya" w:id="2"/>
      <w:bookmarkEnd w:id="2"/>
      <w:r w:rsidDel="00000000" w:rsidR="00000000" w:rsidRPr="00000000">
        <w:rPr>
          <w:rtl w:val="0"/>
        </w:rPr>
        <w:t xml:space="preserve">Approach</w:t>
      </w:r>
      <w:r w:rsidDel="00000000" w:rsidR="00000000" w:rsidRPr="00000000">
        <w:rPr>
          <w:rtl w:val="0"/>
        </w:rPr>
      </w:r>
    </w:p>
    <w:p w:rsidR="00000000" w:rsidDel="00000000" w:rsidP="00000000" w:rsidRDefault="00000000" w:rsidRPr="00000000" w14:paraId="00000050">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Securify performed a Runtime Application Vulnerability Assessment of the Nitin's web application, associated APIs, and all components defined within the assessment scope.</w:t>
      </w:r>
    </w:p>
    <w:p w:rsidR="00000000" w:rsidDel="00000000" w:rsidP="00000000" w:rsidRDefault="00000000" w:rsidRPr="00000000" w14:paraId="00000050">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The assessment was conducted using industry-accepted methodologies, primarily based on the OWASP Web Security Testing Guide (WSTG) and OWASP ASVS, and involved both manual testing and automated analysis.</w:t>
      </w:r>
    </w:p>
    <w:p w:rsidR="00000000" w:rsidDel="00000000" w:rsidP="00000000" w:rsidRDefault="00000000" w:rsidRPr="00000000" w14:paraId="00000053">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j2qqm3" w:id="3"/>
      <w:bookmarkEnd w:id="3"/>
      <w:r w:rsidDel="00000000" w:rsidR="00000000" w:rsidRPr="00000000">
        <w:rPr>
          <w:rtl w:val="0"/>
        </w:rPr>
        <w:t xml:space="preserve">Runtime Application Vulnerability Assessment</w:t>
      </w:r>
    </w:p>
    <w:p w:rsidR="00000000" w:rsidDel="00000000" w:rsidP="00000000" w:rsidRDefault="00000000" w:rsidRPr="00000000" w14:paraId="00000054">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The Runtime Application Vulnerability Assessment involved detecting security vulnerabilities through detailed examination and testing of the application in a runtime environment. This assessment emulates an attack by a skilled adversary in a controlled setting and allows Nitin to ascertain the kinds of vulnerabilities that may be realistically exploited. A Runtime Application Vulnerability Assessment includes the following phases:</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Information Gathering</w:t>
      </w:r>
      <w:r>
        <w:rPr>
          <w:color w:val="000000"/>
        </w:rPr>
        <w:t xml:space="preserve"> – The application was reviewed as an anonymous, authenticated, and privileged user to understand differences in access and behavior. Technologies, frameworks, APIs, and third-party integrations were also identified to support targeted testing.</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Authentication Testing</w:t>
      </w:r>
      <w:r>
        <w:rPr>
          <w:color w:val="000000"/>
        </w:rPr>
        <w:t xml:space="preserve"> – Authentication mechanisms were evaluated to determine the strength of login controls, password policies, and account recovery processes. Protections against brute-force attempts and session takeover scenarios were also reviewed to ensure users are securely authenticated.</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Authorization Testing</w:t>
      </w:r>
      <w:r>
        <w:rPr>
          <w:color w:val="000000"/>
        </w:rPr>
        <w:t xml:space="preserve"> – Tests were conducted to identify weaknesses in access control, including attempts to access other users' data or privileged functionality.</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Session Management</w:t>
      </w:r>
      <w:r>
        <w:rPr>
          <w:color w:val="000000"/>
        </w:rPr>
        <w:t xml:space="preserve"> – Session handling was assessed to ensure secure creation, storage, and invalidation of session tokens.</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Input Validation Attacks</w:t>
      </w:r>
      <w:r>
        <w:rPr>
          <w:color w:val="000000"/>
        </w:rPr>
        <w:t xml:space="preserve"> – User-controlled input fields were tested with malformed and malicious data to identify injection flaws and logic bypasses. This included attempts to exploit unexpected behavior, access unprotected functionality, or inject vulnerabilities such as XSS, SQL Injection, and Command Injection.</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Business Logic Testing</w:t>
      </w:r>
      <w:r>
        <w:rPr>
          <w:color w:val="000000"/>
        </w:rPr>
        <w:t xml:space="preserve"> – The application workflows were reviewed to identify opportunities to misuse or bypass intended processes. This included testing for logic errors, insufficient validation, and scenarios where typical constraints could be circumvented.</w:t>
      </w:r>
    </w:p>
    <w:p w:rsidR="00000000" w:rsidDel="00000000" w:rsidP="00000000" w:rsidRDefault="00000000" w:rsidRPr="00000000" w14:paraId="0000005D">
      <w:pPr>
        <w:pageBreakBefore w:val="1"/>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1y810tw" w:id="5"/>
      <w:bookmarkEnd w:id="5"/>
      <w:r w:rsidDel="00000000" w:rsidR="00000000" w:rsidRPr="00000000">
        <w:rPr>
          <w:rtl w:val="0"/>
        </w:rPr>
        <w:t xml:space="preserve">Scope</w:t>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The assessment was conducted between May 14, 2026 and May 23, 2026. The re-assessment was conducted between May 14, 2026 and May 23, 2026. Testing was performed remotely.</w:t>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The scope of the assessment was limited to the environments and targets below:</w:t>
      </w:r>
    </w:p>
    <w:p>
      <w:pPr>
        <w:spacing w:before="240" w:after="120"/>
        <w:rPr>
          <w:b w:val="1"/>
          <w:bCs w:val="1"/>
          <w:color w:val="40D31D"/>
          <w:sz w:val="24"/>
          <w:szCs w:val="24"/>
        </w:rPr>
      </w:pPr>
      <w:r>
        <w:rPr>
          <w:b w:val="1"/>
          <w:bCs w:val="1"/>
          <w:color w:val="40D31D"/>
          <w:sz w:val="24"/>
          <w:szCs w:val="24"/>
        </w:rPr>
        <w:t xml:space="preserve">Application Details</w:t>
      </w:r>
    </w:p>
    <w:tbl>
      <w:tblPr>
        <w:tblStyle w:val="Table1"/>
        <w:tblW w:w="9300.0" w:type="dxa"/>
        <w:jc w:val="left"/>
        <w:tblInd w:w="18.999999999999986"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115"/>
        <w:tblGridChange w:id="0">
          <w:tblGrid>
            <w:gridCol w:w="4185"/>
            <w:gridCol w:w="5115"/>
          </w:tblGrid>
        </w:tblGridChange>
      </w:tblGrid>
      <w:tr>
        <w:trPr>
          <w:cantSplit w:val="1"/>
          <w:trHeight w:val="426" w:hRule="atLeast"/>
          <w:tblHeader w:val="0"/>
        </w:trPr>
        <w:tc>
          <w:tcPr>
            <w:shd w:val="clear" w:color="auto" w:fill="4CC51F"/>
          </w:tcPr>
          <w:p w:rsidR="00000000" w:rsidDel="00000000" w:rsidP="00000000" w:rsidRDefault="00000000" w:rsidRPr="00000000" w14:paraId="0000006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Name</w:t>
            </w:r>
            <w:r w:rsidDel="00000000" w:rsidR="00000000" w:rsidRPr="00000000">
              <w:rPr>
                <w:rtl w:val="0"/>
                <w:color w:val="FFFFFF"/>
              </w:rPr>
            </w:r>
          </w:p>
        </w:tc>
        <w:tc>
          <w:tcPr>
            <w:shd w:val="clear" w:color="auto" w:fill="4CC51F"/>
          </w:tcPr>
          <w:p w:rsidR="00000000" w:rsidDel="00000000" w:rsidP="00000000" w:rsidRDefault="00000000" w:rsidRPr="00000000" w14:paraId="00000062">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URL</w:t>
            </w:r>
          </w:p>
        </w:tc>
      </w:tr>
      <w:tr>
        <w:trPr>
          <w:cantSplit w:val="1"/>
          <w:trHeight w:val="404" w:hRule="atLeast"/>
          <w:tblHeader w:val="0"/>
        </w:trPr>
        <w:tc>
          <w:tcPr>
            <w:shd w:val="clear" w:color="auto" w:fill="E2F3DA"/>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qwerty</w:t>
            </w:r>
          </w:p>
        </w:tc>
        <w:tc>
          <w:tcPr>
            <w:shd w:val="clear" w:color="auto" w:fill="E2F3DA"/>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rPr>
              <w:t xml:space="preserve">qwerty</w:t>
            </w:r>
          </w:p>
        </w:tc>
      </w:tr>
    </w:tbl>
    <w:p>
      <w:pPr>
        <w:spacing w:after="240"/>
      </w:pPr>
    </w:p>
    <w:p>
      <w:pPr>
        <w:spacing w:before="240" w:after="120"/>
        <w:rPr>
          <w:b w:val="1"/>
          <w:bCs w:val="1"/>
          <w:color w:val="40D31D"/>
          <w:sz w:val="24"/>
          <w:szCs w:val="24"/>
        </w:rPr>
      </w:pPr>
      <w:r>
        <w:rPr>
          <w:b w:val="1"/>
          <w:bCs w:val="1"/>
          <w:color w:val="40D31D"/>
          <w:sz w:val="24"/>
          <w:szCs w:val="24"/>
        </w:rPr>
        <w:t xml:space="preserve">User Roles (Web application &amp; API)</w:t>
      </w:r>
    </w:p>
    <w:tbl>
      <w:tblPr>
        <w:tblStyle w:val="Table2"/>
        <w:tblW w:w="9285.0" w:type="dxa"/>
        <w:jc w:val="left"/>
        <w:tblInd w:w="4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260"/>
        <w:gridCol w:w="5025"/>
        <w:tblGridChange w:id="0">
          <w:tblGrid>
            <w:gridCol w:w="4260"/>
            <w:gridCol w:w="5025"/>
          </w:tblGrid>
        </w:tblGridChange>
      </w:tblGrid>
      <w:tr>
        <w:trPr>
          <w:cantSplit w:val="1"/>
          <w:tblHeader w:val="0"/>
        </w:trPr>
        <w:tc>
          <w:tcPr>
            <w:tcBorders>
              <w:top w:color="efefef" w:space="0" w:sz="4" w:val="single"/>
              <w:left w:color="000000" w:space="0" w:sz="0" w:val="nil"/>
              <w:bottom w:color="efefef" w:space="0" w:sz="4" w:val="single"/>
              <w:right w:color="000000" w:space="0" w:sz="0" w:val="nil"/>
            </w:tcBorders>
            <w:vAlign w:val="center"/>
            <w:shd w:val="clear" w:color="auto" w:fill="4CC51F"/>
          </w:tcPr>
          <w:p w:rsidR="00000000" w:rsidDel="00000000" w:rsidP="00000000" w:rsidRDefault="00000000" w:rsidRPr="00000000" w14:paraId="00000068">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Role</w:t>
            </w:r>
          </w:p>
        </w:tc>
        <w:tc>
          <w:tcPr>
            <w:tcBorders>
              <w:top w:color="efefef" w:space="0" w:sz="4" w:val="single"/>
              <w:left w:color="000000" w:space="0" w:sz="0" w:val="nil"/>
              <w:bottom w:color="efefef" w:space="0" w:sz="4" w:val="single"/>
              <w:right w:color="efefef" w:space="0" w:sz="4" w:val="single"/>
            </w:tcBorders>
            <w:vAlign w:val="center"/>
            <w:shd w:val="clear" w:color="auto" w:fill="4CC51F"/>
          </w:tcPr>
          <w:p w:rsidR="00000000" w:rsidDel="00000000" w:rsidP="00000000" w:rsidRDefault="00000000" w:rsidRPr="00000000" w14:paraId="00000069">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Username</w:t>
            </w:r>
          </w:p>
        </w:tc>
      </w:tr>
      <w:tr>
        <w:trPr>
          <w:cantSplit w:val="1"/>
          <w:tblHeader w:val="0"/>
        </w:trPr>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A">
            <w:pPr>
              <w:tabs>
                <w:tab w:val="right" w:leader="none" w:pos="9360"/>
                <w:tab w:val="right" w:leader="none" w:pos="9360"/>
                <w:tab w:val="right" w:leader="none" w:pos="9360"/>
                <w:tab w:val="right" w:leader="none" w:pos="9360"/>
                <w:tab w:val="right" w:leader="none" w:pos="9360"/>
                <w:tab w:val="right" w:leader="none" w:pos="9360"/>
              </w:tabs>
              <w:spacing w:line="276" w:lineRule="auto"/>
              <w:ind w:firstLine="0"/>
              <w:rPr/>
              <w:keepNext w:val="1"/>
            </w:pPr>
            <w:r w:rsidDel="00000000" w:rsidR="00000000" w:rsidRPr="00000000">
              <w:rPr>
                <w:rtl w:val="0"/>
              </w:rPr>
              <w:t xml:space="preserve">werty</w:t>
            </w:r>
          </w:p>
        </w:tc>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B">
            <w:pPr>
              <w:widowControl w:val="1"/>
              <w:tabs>
                <w:tab w:val="right" w:leader="none" w:pos="9360"/>
              </w:tabs>
              <w:spacing w:line="276" w:lineRule="auto"/>
              <w:ind w:firstLine="0"/>
              <w:jc w:val="left"/>
              <w:rPr/>
              <w:keepNext w:val="1"/>
            </w:pPr>
            <w:r w:rsidDel="00000000" w:rsidR="00000000" w:rsidRPr="00000000">
              <w:rPr>
                <w:rtl w:val="0"/>
              </w:rPr>
              <w:t xml:space="preserve">werty</w:t>
            </w:r>
          </w:p>
        </w:tc>
      </w:tr>
    </w:tbl>
    <w:p>
      <w:pPr>
        <w:spacing w:after="240"/>
      </w:pPr>
    </w:p>
    <w:p>
      <w:pPr>
        <w:spacing w:before="240" w:after="120"/>
        <w:rPr>
          <w:b w:val="1"/>
          <w:bCs w:val="1"/>
          <w:color w:val="40D31D"/>
          <w:sz w:val="24"/>
          <w:szCs w:val="24"/>
        </w:rPr>
      </w:pPr>
      <w:r>
        <w:rPr>
          <w:b w:val="1"/>
          <w:bCs w:val="1"/>
          <w:color w:val="40D31D"/>
          <w:sz w:val="24"/>
          <w:szCs w:val="24"/>
        </w:rPr>
        <w:t xml:space="preserve">Tools</w:t>
      </w:r>
    </w:p>
    <w:tbl>
      <w:tblPr>
        <w:tblStyle w:val="Table3"/>
        <w:tblW w:w="9255.0" w:type="dxa"/>
        <w:jc w:val="left"/>
        <w:tblInd w:w="13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070"/>
        <w:tblGridChange w:id="0">
          <w:tblGrid>
            <w:gridCol w:w="4185"/>
            <w:gridCol w:w="5070"/>
          </w:tblGrid>
        </w:tblGridChange>
      </w:tblGrid>
      <w:tr>
        <w:trPr>
          <w:cantSplit w:val="1"/>
          <w:tblHeader w:val="0"/>
        </w:trPr>
        <w:tc>
          <w:tcPr>
            <w:vAlign w:val="center"/>
            <w:shd w:val="clear" w:color="auto" w:fill="4CC51F"/>
          </w:tcPr>
          <w:p w:rsidR="00000000" w:rsidDel="00000000" w:rsidP="00000000" w:rsidRDefault="00000000" w:rsidRPr="00000000" w14:paraId="0000006F">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Tool Name</w:t>
            </w:r>
          </w:p>
        </w:tc>
        <w:tc>
          <w:tcPr>
            <w:vAlign w:val="center"/>
            <w:shd w:val="clear" w:color="auto" w:fill="4CC51F"/>
          </w:tcPr>
          <w:p w:rsidR="00000000" w:rsidDel="00000000" w:rsidP="00000000" w:rsidRDefault="00000000" w:rsidRPr="00000000" w14:paraId="00000070">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Description</w:t>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Burp Professional Pro</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advanced proxy for testing web security.</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OpenSSL</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open-source package to assess security in transit.</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Nmap</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 tool used to discover hosts and services on a network.</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SQLMap</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Python-based CLI tool that identifies SQL injection issues.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Acunetix Pro</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automated scanner to perform authenticated scans on the web app / APIs.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cURL Utility</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Command line utility to perform HTTP/s requests.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bl>
    <w:p>
      <w:pPr>
        <w:spacing w:after="240"/>
      </w:pPr>
    </w:p>
    <w:p w:rsidR="00000000" w:rsidDel="00000000" w:rsidP="00000000" w:rsidRDefault="00000000" w:rsidRPr="00000000" w14:paraId="00000046">
      <w:p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
      </w:r>
    </w:p>
    <w:p w:rsidR="00000000" w:rsidDel="00000000" w:rsidP="00000000" w:rsidRDefault="00000000" w:rsidRPr="00000000" w14:paraId="00000046">
      <w:p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The following components and tests were out of scope for this review:</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rPr/>
        <w:ind w:left="900" w:hanging="360"/>
      </w:pPr>
      <w:r>
        <w:rPr>
          <w:color w:val="000000"/>
        </w:rPr>
        <w:t xml:space="preserve">Any applications and infrastructure external to the Nitin's Web Application &amp; API.</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rPr/>
        <w:ind w:left="900" w:hanging="360"/>
      </w:pPr>
      <w:r>
        <w:rPr>
          <w:color w:val="000000"/>
        </w:rPr>
        <w:t xml:space="preserve">In cases where the Nitin's Web Application &amp; API had inbound and/or outbound interfaces with:</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rPr/>
        <w:ind w:left="900" w:hanging="360"/>
      </w:pPr>
      <w:r>
        <w:rPr>
          <w:color w:val="000000"/>
        </w:rPr>
        <w:t xml:space="preserve">Another application, the interfaces, and communications were considered in scope.</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rPr/>
        <w:ind w:left="900" w:hanging="360"/>
      </w:pPr>
      <w:r>
        <w:rPr>
          <w:color w:val="000000"/>
        </w:rPr>
        <w:t xml:space="preserve">All other external elements were excluded.</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rPr/>
        <w:ind w:left="900" w:hanging="360"/>
      </w:pPr>
      <w:r>
        <w:rPr>
          <w:color w:val="000000"/>
        </w:rPr>
        <w:t xml:space="preserve">Supporting policies, procedures, and processes.</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rPr/>
        <w:ind w:left="900" w:hanging="360"/>
      </w:pPr>
      <w:r>
        <w:rPr>
          <w:color w:val="000000"/>
        </w:rPr>
        <w:t xml:space="preserve">Social Engineering.</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rPr/>
        <w:ind w:left="900" w:hanging="360"/>
      </w:pPr>
      <w:r>
        <w:rPr>
          <w:color w:val="000000"/>
        </w:rPr>
        <w:t xml:space="preserve">Software Development Life Cycle.</w:t>
      </w:r>
    </w:p>
    <w:p w:rsidR="00000000" w:rsidDel="00000000" w:rsidP="00000000" w:rsidRDefault="00000000" w:rsidRPr="00000000" w14:paraId="0000008B">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whwml4" w:id="9"/>
      <w:bookmarkEnd w:id="9"/>
      <w:r w:rsidDel="00000000" w:rsidR="00000000" w:rsidRPr="00000000">
        <w:rPr>
          <w:rtl w:val="0"/>
        </w:rPr>
        <w:t xml:space="preserve">Assessment Limitation</w:t>
      </w:r>
    </w:p>
    <w:p w:rsidR="00000000" w:rsidDel="00000000" w:rsidP="00000000" w:rsidRDefault="00000000" w:rsidRPr="00000000" w14:paraId="0000008C">
      <w:pPr>
        <w:tabs>
          <w:tab w:val="right" w:leader="none" w:pos="9360"/>
          <w:tab w:val="right" w:leader="none" w:pos="9360"/>
          <w:tab w:val="right" w:leader="none" w:pos="9360"/>
          <w:tab w:val="right" w:leader="none" w:pos="9360"/>
          <w:tab w:val="right" w:leader="none" w:pos="9360"/>
          <w:tab w:val="right" w:leader="none" w:pos="9360"/>
        </w:tabs>
        <w:ind w:left="0" w:firstLine="0"/>
        <w:rPr/>
        <w:spacing w:before="120" w:after="240"/>
      </w:pPr>
      <w:r>
        <w:rPr>
          <w:color w:val="000000"/>
        </w:rPr>
        <w:t xml:space="preserve">The ever-changing technology landscape and the increasing sophistication of attacks against networked systems are reasons why no entity can truthfully claim to identify all security issues or guarantee the lifetime security of an organization’s network and applications. Note that this point-in-time assessment was based on a best-effort basis. It was also performed only in the environment provided by Nitin. Thus, changes to the environment may impact the applicability of the results provided herein.</w:t>
      </w:r>
    </w:p>
    <w:p w:rsidR="00000000" w:rsidDel="00000000" w:rsidP="00000000" w:rsidRDefault="00000000" w:rsidRPr="00000000" w14:paraId="0000008C">
      <w:pPr>
        <w:tabs>
          <w:tab w:val="right" w:leader="none" w:pos="9360"/>
          <w:tab w:val="right" w:leader="none" w:pos="9360"/>
          <w:tab w:val="right" w:leader="none" w:pos="9360"/>
          <w:tab w:val="right" w:leader="none" w:pos="9360"/>
          <w:tab w:val="right" w:leader="none" w:pos="9360"/>
          <w:tab w:val="right" w:leader="none" w:pos="9360"/>
        </w:tabs>
        <w:ind w:left="0" w:firstLine="0"/>
        <w:rPr/>
        <w:spacing w:before="120" w:after="240"/>
      </w:pPr>
      <w:r>
        <w:rPr>
          <w:color w:val="000000"/>
        </w:rPr>
        <w:t xml:space="preserve">SecurifyAI cannot guarantee 100% coverage for any security assessment.</w:t>
      </w:r>
    </w:p>
    <w:p w:rsidR="00000000" w:rsidDel="00000000" w:rsidP="00000000" w:rsidRDefault="00000000" w:rsidRPr="00000000" w14:paraId="00000092">
      <w:pPr>
        <w:pStyle w:val="Heading1"/>
        <w:keepNext w:val="0"/>
        <w:keepLines w:val="0"/>
        <w:pageBreakBefore w:val="1"/>
        <w:tabs>
          <w:tab w:val="right" w:leader="none" w:pos="9360"/>
          <w:tab w:val="right" w:leader="none" w:pos="9360"/>
          <w:tab w:val="right" w:leader="none" w:pos="9360"/>
        </w:tabs>
        <w:rPr/>
      </w:pPr>
      <w:bookmarkStart w:colFirst="0" w:colLast="0" w:name="_heading=h.2zqlghxj9gg0" w:id="10"/>
      <w:bookmarkEnd w:id="10"/>
      <w:r w:rsidDel="00000000" w:rsidR="00000000" w:rsidRPr="00000000">
        <w:rPr>
          <w:rtl w:val="0"/>
        </w:rPr>
        <w:t xml:space="preserve">Findings and Recommendation</w:t>
      </w:r>
    </w:p>
    <w:p w:rsidR="00000000" w:rsidDel="00000000" w:rsidP="00000000" w:rsidRDefault="00000000" w:rsidRPr="00000000" w14:paraId="00000093">
      <w:pPr>
        <w:pStyle w:val="Heading2"/>
        <w:tabs>
          <w:tab w:val="right" w:leader="none" w:pos="9360"/>
          <w:tab w:val="right" w:leader="none" w:pos="9360"/>
          <w:tab w:val="right" w:leader="none" w:pos="9360"/>
        </w:tabs>
        <w:rPr/>
      </w:pPr>
      <w:bookmarkStart w:colFirst="0" w:colLast="0" w:name="_heading=h.qsh70q" w:id="11"/>
      <w:bookmarkEnd w:id="11"/>
      <w:r w:rsidDel="00000000" w:rsidR="00000000" w:rsidRPr="00000000">
        <w:rPr>
          <w:rtl w:val="0"/>
        </w:rPr>
        <w:t xml:space="preserve">Risk Classification</w:t>
      </w:r>
    </w:p>
    <w:p w:rsidR="00000000" w:rsidDel="00000000" w:rsidP="00000000" w:rsidRDefault="00000000" w:rsidRPr="00000000" w14:paraId="00000094">
      <w:pPr>
        <w:tabs>
          <w:tab w:val="right" w:leader="none" w:pos="9360"/>
          <w:tab w:val="right" w:leader="none" w:pos="9360"/>
          <w:tab w:val="right" w:leader="none" w:pos="9360"/>
          <w:tab w:val="right" w:leader="none" w:pos="9360"/>
        </w:tabs>
        <w:rPr/>
      </w:pPr>
      <w:r>
        <w:rPr>
          <w:color w:val="000000"/>
        </w:rPr>
        <w:t xml:space="preserve">The remainder of this report describes the vulnerabilities that SecurifyAI identified as part of the assessment, their impact, and recommendations for resolving the vulnerabilities. To assist in determining the risk posed by these vulnerabilities, SecurifyAI leverages the OWASP Application Security Risk Rating Methodology. The observations have been categorized based on technical Impact and Likelihood, explained below. These impact and likelihood scores may be further modified by Nitin based on the business criticality of the target.</w:t>
      </w:r>
    </w:p>
    <w:p w:rsidR="00000000" w:rsidDel="00000000" w:rsidP="00000000" w:rsidRDefault="00000000" w:rsidRPr="00000000" w14:paraId="00000095">
      <w:pPr>
        <w:pStyle w:val="Heading2"/>
        <w:tabs>
          <w:tab w:val="right" w:leader="none" w:pos="9360"/>
          <w:tab w:val="right" w:leader="none" w:pos="9360"/>
          <w:tab w:val="right" w:leader="none" w:pos="9360"/>
          <w:tab w:val="right" w:leader="none" w:pos="9360"/>
        </w:tabs>
        <w:rPr/>
      </w:pPr>
      <w:bookmarkStart w:colFirst="0" w:colLast="0" w:name="_heading=h.sjob4txaqeta" w:id="12"/>
      <w:bookmarkEnd w:id="12"/>
      <w:r w:rsidDel="00000000" w:rsidR="00000000" w:rsidRPr="00000000">
        <w:rPr>
          <w:rtl w:val="0"/>
        </w:rPr>
        <w:t xml:space="preserve">Measurement of Impact</w:t>
      </w:r>
    </w:p>
    <w:p w:rsidR="00000000" w:rsidDel="00000000" w:rsidP="00000000" w:rsidRDefault="00000000" w:rsidRPr="00000000" w14:paraId="00000096">
      <w:pPr>
        <w:tabs>
          <w:tab w:val="right" w:leader="none" w:pos="9360"/>
          <w:tab w:val="right" w:leader="none" w:pos="9360"/>
          <w:tab w:val="right" w:leader="none" w:pos="9360"/>
          <w:tab w:val="right" w:leader="none" w:pos="9360"/>
          <w:tab w:val="right" w:leader="none" w:pos="9360"/>
          <w:tab w:val="right" w:leader="none" w:pos="9360"/>
          <w:tab w:val="right" w:leader="none" w:pos="9360"/>
        </w:tabs>
        <w:rPr/>
        <w:spacing w:before="0" w:after="80" w:line="240" w:lineRule="auto"/>
      </w:pPr>
      <w:r>
        <w:rPr>
          <w:color w:val="000000"/>
        </w:rPr>
        <w:t xml:space="preserve">Impact is an estimation of the potential damage via a successful exploit of a vulnerability. We'll use the following factors to help qualitatively determine the impact of a vulnerability.</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spacing w:before="0" w:after="80" w:line="240" w:lineRule="auto"/>
      </w:pPr>
      <w:r>
        <w:rPr>
          <w:b w:val="1"/>
          <w:bCs w:val="1"/>
          <w:color w:val="000000"/>
        </w:rPr>
        <w:t xml:space="preserve">Low Impact</w:t>
      </w:r>
      <w:r>
        <w:rPr>
          <w:color w:val="000000"/>
        </w:rPr>
        <w:t xml:space="preserve">: When most/all factors indicate limited consequences (e.g., non-sensitive data, no ability to alter/delete key data, and low victim count).</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spacing w:before="0" w:after="80" w:line="240" w:lineRule="auto"/>
      </w:pPr>
      <w:r>
        <w:rPr>
          <w:b w:val="1"/>
          <w:bCs w:val="1"/>
          <w:color w:val="000000"/>
        </w:rPr>
        <w:t xml:space="preserve">Medium Impact</w:t>
      </w:r>
      <w:r>
        <w:rPr>
          <w:color w:val="000000"/>
        </w:rPr>
        <w:t xml:space="preserve">: When about half of the factors suggest higher damage and half point to limited effects.</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spacing w:before="0" w:after="80" w:line="240" w:lineRule="auto"/>
      </w:pPr>
      <w:r>
        <w:rPr>
          <w:b w:val="1"/>
          <w:bCs w:val="1"/>
          <w:color w:val="000000"/>
        </w:rPr>
        <w:t xml:space="preserve">High Impact</w:t>
      </w:r>
      <w:r>
        <w:rPr>
          <w:color w:val="000000"/>
        </w:rPr>
        <w:t xml:space="preserve">: When most/all factors highlight significant damage (e.g., sensitive data loss, wide data corruption, and a large number of victims).</w:t>
      </w:r>
    </w:p>
    <w:sdt>
      <w:sdtPr>
        <w:lock w:val="contentLocked"/>
        <w:id w:val="949205241"/>
        <w:tag w:val="goog_rdk_0"/>
      </w:sdtPr>
      <w:sdtContent>
        <w:tbl>
          <w:tblPr>
            <w:tblStyle w:val="Table4"/>
            <w:tblW w:w="9380.0" w:type="dxa"/>
            <w:jc w:val="left"/>
            <w:tblInd w:w="-2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08.7403100775193"/>
            <w:gridCol w:w="172.6937984496124"/>
            <w:gridCol w:w="3699.282945736434"/>
            <w:gridCol w:w="3699.282945736434"/>
            <w:tblGridChange w:id="0">
              <w:tblGrid>
                <w:gridCol w:w="1808.7403100775193"/>
                <w:gridCol w:w="172.6937984496124"/>
                <w:gridCol w:w="3699.282945736434"/>
                <w:gridCol w:w="3699.282945736434"/>
              </w:tblGrid>
            </w:tblGridChange>
          </w:tblGrid>
          <w:tr>
            <w:trPr>
              <w:cantSplit w:val="1"/>
              <w:trHeight w:val="362" w:hRule="atLeast"/>
              <w:tblHeader w:val="0"/>
            </w:trPr>
            <w:tc>
              <w:tcPr>
                <w:gridSpan w:val="2"/>
                <w:shd w:val="clear" w:color="auto" w:fill="4CC51F"/>
              </w:tcPr>
              <w:p w:rsidR="00000000" w:rsidDel="00000000" w:rsidP="00000000" w:rsidRDefault="00000000" w:rsidRPr="00000000" w14:paraId="0000009B">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Factor</w:t>
                </w:r>
              </w:p>
            </w:tc>
            <w:tc>
              <w:tcPr>
                <w:shd w:val="clear" w:color="auto" w:fill="4CC51F"/>
              </w:tcPr>
              <w:p w:rsidR="00000000" w:rsidDel="00000000" w:rsidP="00000000" w:rsidRDefault="00000000" w:rsidRPr="00000000" w14:paraId="0000009D">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Description</w:t>
                </w:r>
              </w:p>
            </w:tc>
            <w:tc>
              <w:tcPr>
                <w:shd w:val="clear" w:color="auto" w:fill="4CC51F"/>
              </w:tcPr>
              <w:p w:rsidR="00000000" w:rsidDel="00000000" w:rsidP="00000000" w:rsidRDefault="00000000" w:rsidRPr="00000000" w14:paraId="0000009E">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Effect on Impact</w:t>
                </w:r>
              </w:p>
            </w:tc>
          </w:tr>
          <w:tr>
            <w:trPr>
              <w:cantSplit w:val="1"/>
              <w:trHeight w:val="1319" w:hRule="atLeast"/>
              <w:tblHeader w:val="0"/>
            </w:trPr>
            <w:tc>
              <w:tcPr>
                <w:shd w:val="clear" w:color="auto" w:fill="E2F3DA"/>
              </w:tcPr>
              <w:p w:rsidR="00000000" w:rsidDel="00000000" w:rsidP="00000000" w:rsidRDefault="00000000" w:rsidRPr="00000000" w14:paraId="0000009F">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Classification of Data Loss</w:t>
                </w:r>
              </w:p>
            </w:tc>
            <w:tc>
              <w:tcPr>
                <w:gridSpan w:val="2"/>
                <w:shd w:val="clear" w:color="auto" w:fill="E2F3DA"/>
              </w:tcPr>
              <w:p w:rsidR="00000000" w:rsidDel="00000000" w:rsidP="00000000" w:rsidRDefault="00000000" w:rsidRPr="00000000" w14:paraId="000000A0">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If an attacker exploited this vulnerability, what type of data would they access or steal? Non-sensitive, non-customer-specific data would lower the impact.</w:t>
                </w:r>
              </w:p>
            </w:tc>
            <w:tc>
              <w:tcPr>
                <w:shd w:val="clear" w:color="auto" w:fill="E2F3DA"/>
              </w:tcPr>
              <w:p w:rsidR="00000000" w:rsidDel="00000000" w:rsidP="00000000" w:rsidRDefault="00000000" w:rsidRPr="00000000" w14:paraId="000000A2">
                <w:pPr>
                  <w:tabs>
                    <w:tab w:val="right" w:leader="none" w:pos="9360"/>
                  </w:tabs>
                  <w:jc w:val="left"/>
                  <w:rPr/>
                  <w:keepNext w:val="1"/>
                </w:pPr>
                <w:r w:rsidDel="00000000" w:rsidR="00000000" w:rsidRPr="00000000">
                  <w:rPr>
                    <w:rtl w:val="0"/>
                  </w:rPr>
                  <w:t xml:space="preserve">Less critical data reduces the overall impact.</w:t>
                </w:r>
              </w:p>
            </w:tc>
          </w:tr>
          <w:tr>
            <w:trPr>
              <w:cantSplit w:val="1"/>
              <w:trHeight w:val="1170" w:hRule="atLeast"/>
              <w:tblHeader w:val="0"/>
            </w:trPr>
            <w:tc>
              <w:tcPr>
                <w:shd w:val="clear" w:color="auto" w:fill="E2F3DA"/>
              </w:tcPr>
              <w:p w:rsidR="00000000" w:rsidDel="00000000" w:rsidP="00000000" w:rsidRDefault="00000000" w:rsidRPr="00000000" w14:paraId="000000A3">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Data Integrity</w:t>
                </w:r>
              </w:p>
            </w:tc>
            <w:tc>
              <w:tcPr>
                <w:gridSpan w:val="2"/>
                <w:shd w:val="clear" w:color="auto" w:fill="E2F3DA"/>
              </w:tcPr>
              <w:p w:rsidR="00000000" w:rsidDel="00000000" w:rsidP="00000000" w:rsidRDefault="00000000" w:rsidRPr="00000000" w14:paraId="000000A4">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Could the attacker modify or delete data they shouldn't? If yes, what kind of data could they corrupt?</w:t>
                </w:r>
              </w:p>
            </w:tc>
            <w:tc>
              <w:tcPr>
                <w:shd w:val="clear" w:color="auto" w:fill="E2F3DA"/>
              </w:tcPr>
              <w:p w:rsidR="00000000" w:rsidDel="00000000" w:rsidP="00000000" w:rsidRDefault="00000000" w:rsidRPr="00000000" w14:paraId="000000A6">
                <w:pPr>
                  <w:tabs>
                    <w:tab w:val="right" w:leader="none" w:pos="9360"/>
                  </w:tabs>
                  <w:jc w:val="left"/>
                  <w:rPr/>
                  <w:keepNext w:val="1"/>
                </w:pPr>
                <w:r w:rsidDel="00000000" w:rsidR="00000000" w:rsidRPr="00000000">
                  <w:rPr>
                    <w:rtl w:val="0"/>
                  </w:rPr>
                  <w:t xml:space="preserve">Non-critical or limited modification rights reduce the impact of exploitation.</w:t>
                </w:r>
              </w:p>
            </w:tc>
          </w:tr>
          <w:tr>
            <w:trPr>
              <w:cantSplit w:val="1"/>
              <w:trHeight w:val="1560" w:hRule="atLeast"/>
              <w:tblHeader w:val="0"/>
            </w:trPr>
            <w:tc>
              <w:tcPr>
                <w:shd w:val="clear" w:color="auto" w:fill="E2F3DA"/>
              </w:tcPr>
              <w:p w:rsidR="00000000" w:rsidDel="00000000" w:rsidP="00000000" w:rsidRDefault="00000000" w:rsidRPr="00000000" w14:paraId="000000A7">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Blast Radius</w:t>
                </w:r>
              </w:p>
            </w:tc>
            <w:tc>
              <w:tcPr>
                <w:gridSpan w:val="2"/>
                <w:shd w:val="clear" w:color="auto" w:fill="E2F3DA"/>
              </w:tcPr>
              <w:p w:rsidR="00000000" w:rsidDel="00000000" w:rsidP="00000000" w:rsidRDefault="00000000" w:rsidRPr="00000000" w14:paraId="000000A8">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How many users or systems would be affected by this vulnerability? For instance, an obscure service affects fewer users, while a public system affects many.</w:t>
                </w:r>
              </w:p>
            </w:tc>
            <w:tc>
              <w:tcPr>
                <w:shd w:val="clear" w:color="auto" w:fill="E2F3DA"/>
              </w:tcPr>
              <w:p w:rsidR="00000000" w:rsidDel="00000000" w:rsidP="00000000" w:rsidRDefault="00000000" w:rsidRPr="00000000" w14:paraId="000000AA">
                <w:pPr>
                  <w:tabs>
                    <w:tab w:val="right" w:leader="none" w:pos="9360"/>
                  </w:tabs>
                  <w:jc w:val="left"/>
                  <w:rPr/>
                </w:pPr>
                <w:r w:rsidDel="00000000" w:rsidR="00000000" w:rsidRPr="00000000">
                  <w:rPr>
                    <w:rtl w:val="0"/>
                  </w:rPr>
                  <w:t xml:space="preserve">A small number of victims lowers the severity.</w:t>
                </w:r>
              </w:p>
            </w:tc>
          </w:tr>
        </w:tbl>
      </w:sdtContent>
    </w:sdt>
    <w:p w:rsidR="00000000" w:rsidDel="00000000" w:rsidP="00000000" w:rsidRDefault="00000000" w:rsidRPr="00000000" w14:paraId="000000AC">
      <w:pPr>
        <w:pStyle w:val="Heading2"/>
        <w:tabs>
          <w:tab w:val="right" w:leader="none" w:pos="9360"/>
          <w:tab w:val="right" w:leader="none" w:pos="9360"/>
          <w:tab w:val="right" w:leader="none" w:pos="9360"/>
          <w:tab w:val="right" w:leader="none" w:pos="9360"/>
        </w:tabs>
        <w:rPr/>
      </w:pPr>
      <w:bookmarkStart w:colFirst="0" w:colLast="0" w:name="_heading=h.2yf4qu3z5t7n" w:id="14"/>
      <w:bookmarkEnd w:id="14"/>
      <w:r w:rsidDel="00000000" w:rsidR="00000000" w:rsidRPr="00000000">
        <w:rPr>
          <w:rtl w:val="0"/>
        </w:rPr>
        <w:t xml:space="preserve">Measurement of Likelihood</w:t>
      </w:r>
    </w:p>
    <w:p w:rsidR="00000000" w:rsidDel="00000000" w:rsidP="00000000" w:rsidRDefault="00000000" w:rsidRPr="00000000" w14:paraId="000000AD">
      <w:pPr>
        <w:tabs>
          <w:tab w:val="right" w:leader="none" w:pos="9360"/>
          <w:tab w:val="right" w:leader="none" w:pos="9360"/>
          <w:tab w:val="right" w:leader="none" w:pos="9360"/>
          <w:tab w:val="right" w:leader="none" w:pos="9360"/>
          <w:tab w:val="right" w:leader="none" w:pos="9360"/>
          <w:tab w:val="right" w:leader="none" w:pos="9360"/>
          <w:tab w:val="right" w:leader="none" w:pos="9360"/>
        </w:tabs>
        <w:rPr/>
        <w:spacing w:before="0" w:after="80" w:line="240" w:lineRule="auto"/>
      </w:pPr>
      <w:r>
        <w:rPr>
          <w:color w:val="000000"/>
        </w:rPr>
        <w:t xml:space="preserve">Likelihood is a qualitative estimation of the probability of an attacker exploiting the vulnerability in question. In order to determine the likelihood of exploitation, we can consider the following factors:</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spacing w:before="0" w:after="80" w:line="240" w:lineRule="auto"/>
      </w:pPr>
      <w:r>
        <w:rPr>
          <w:b w:val="1"/>
          <w:bCs w:val="1"/>
          <w:color w:val="000000"/>
        </w:rPr>
        <w:t xml:space="preserve">Low Likelihood</w:t>
      </w:r>
      <w:r>
        <w:rPr>
          <w:color w:val="000000"/>
        </w:rPr>
        <w:t xml:space="preserve">: Most/all factors suggest significant barriers to exploitation (e.g., complex skillset, limited attackers, high cost, or complex delivery).</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spacing w:before="0" w:after="80" w:line="240" w:lineRule="auto"/>
      </w:pPr>
      <w:r>
        <w:rPr>
          <w:b w:val="1"/>
          <w:bCs w:val="1"/>
          <w:color w:val="000000"/>
        </w:rPr>
        <w:t xml:space="preserve">Medium Likelihood</w:t>
      </w:r>
      <w:r>
        <w:rPr>
          <w:color w:val="000000"/>
        </w:rPr>
        <w:t xml:space="preserve">: About half the factors indicate ease of exploitation, while the other half show barriers.</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spacing w:before="0" w:after="80" w:line="240" w:lineRule="auto"/>
      </w:pPr>
      <w:r>
        <w:rPr>
          <w:b w:val="1"/>
          <w:bCs w:val="1"/>
          <w:color w:val="000000"/>
        </w:rPr>
        <w:t xml:space="preserve">High Likelihood</w:t>
      </w:r>
      <w:r>
        <w:rPr>
          <w:color w:val="000000"/>
        </w:rPr>
        <w:t xml:space="preserve">: Most/all factors point to easy and accessible exploitation (e.g., basic skills, low cost, and simple attack mechanisms).</w:t>
      </w:r>
    </w:p>
    <w:sdt>
      <w:sdtPr>
        <w:lock w:val="contentLocked"/>
        <w:id w:val="-515788086"/>
        <w:tag w:val="goog_rdk_1"/>
      </w:sdtPr>
      <w:sdtContent>
        <w:tbl>
          <w:tblPr>
            <w:tblStyle w:val="Table5"/>
            <w:tblW w:w="9330.0" w:type="dxa"/>
            <w:jc w:val="left"/>
            <w:tblInd w:w="4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00"/>
            <w:gridCol w:w="3915"/>
            <w:gridCol w:w="3615"/>
            <w:tblGridChange w:id="0">
              <w:tblGrid>
                <w:gridCol w:w="1800"/>
                <w:gridCol w:w="3915"/>
                <w:gridCol w:w="3615"/>
              </w:tblGrid>
            </w:tblGridChange>
          </w:tblGrid>
          <w:tr>
            <w:trPr>
              <w:cantSplit w:val="1"/>
              <w:trHeight w:val="365" w:hRule="atLeast"/>
              <w:tblHeader w:val="0"/>
            </w:trPr>
            <w:tc>
              <w:tcPr>
                <w:vAlign w:val="bottom"/>
                <w:shd w:val="clear" w:color="auto" w:fill="4CC51F"/>
              </w:tcPr>
              <w:p w:rsidR="00000000" w:rsidDel="00000000" w:rsidP="00000000" w:rsidRDefault="00000000" w:rsidRPr="00000000" w14:paraId="000000B2">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Factor</w:t>
                </w:r>
              </w:p>
            </w:tc>
            <w:tc>
              <w:tcPr>
                <w:vAlign w:val="bottom"/>
                <w:shd w:val="clear" w:color="auto" w:fill="4CC51F"/>
              </w:tcPr>
              <w:p w:rsidR="00000000" w:rsidDel="00000000" w:rsidP="00000000" w:rsidRDefault="00000000" w:rsidRPr="00000000" w14:paraId="000000B3">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Description</w:t>
                </w:r>
              </w:p>
            </w:tc>
            <w:tc>
              <w:tcPr>
                <w:vAlign w:val="bottom"/>
                <w:shd w:val="clear" w:color="auto" w:fill="4CC51F"/>
              </w:tcPr>
              <w:p w:rsidR="00000000" w:rsidDel="00000000" w:rsidP="00000000" w:rsidRDefault="00000000" w:rsidRPr="00000000" w14:paraId="000000B4">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Effect on Likelihood</w:t>
                </w:r>
              </w:p>
            </w:tc>
          </w:tr>
          <w:tr>
            <w:trPr>
              <w:cantSplit w:val="1"/>
              <w:trHeight w:val="1332" w:hRule="atLeast"/>
              <w:tblHeader w:val="0"/>
            </w:trPr>
            <w:tc>
              <w:tcPr>
                <w:shd w:val="clear" w:color="auto" w:fill="E2F3DA"/>
              </w:tcPr>
              <w:p w:rsidR="00000000" w:rsidDel="00000000" w:rsidP="00000000" w:rsidRDefault="00000000" w:rsidRPr="00000000" w14:paraId="000000B5">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Required Skill Level of Attacker</w:t>
                </w:r>
              </w:p>
            </w:tc>
            <w:tc>
              <w:tcPr>
                <w:shd w:val="clear" w:color="auto" w:fill="E2F3DA"/>
              </w:tcPr>
              <w:p w:rsidR="00000000" w:rsidDel="00000000" w:rsidP="00000000" w:rsidRDefault="00000000" w:rsidRPr="00000000" w14:paraId="000000B6">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technically skilled does the attacker need to be to exploit the vulnerability? The higher the required skills, the lower the likelihood.</w:t>
                </w:r>
              </w:p>
            </w:tc>
            <w:tc>
              <w:tcPr>
                <w:shd w:val="clear" w:color="auto" w:fill="E2F3DA"/>
              </w:tcPr>
              <w:p w:rsidR="00000000" w:rsidDel="00000000" w:rsidP="00000000" w:rsidRDefault="00000000" w:rsidRPr="00000000" w14:paraId="000000B7">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Complex skill requirements lower the chances of exploitation.</w:t>
                </w:r>
              </w:p>
            </w:tc>
          </w:tr>
          <w:tr>
            <w:trPr>
              <w:cantSplit w:val="1"/>
              <w:trHeight w:val="1332" w:hRule="atLeast"/>
              <w:tblHeader w:val="0"/>
            </w:trPr>
            <w:tc>
              <w:tcPr>
                <w:shd w:val="clear" w:color="auto" w:fill="E2F3DA"/>
              </w:tcPr>
              <w:p w:rsidR="00000000" w:rsidDel="00000000" w:rsidP="00000000" w:rsidRDefault="00000000" w:rsidRPr="00000000" w14:paraId="000000B8">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Number of Potential Attackers</w:t>
                </w:r>
              </w:p>
            </w:tc>
            <w:tc>
              <w:tcPr>
                <w:shd w:val="clear" w:color="auto" w:fill="E2F3DA"/>
              </w:tcPr>
              <w:p w:rsidR="00000000" w:rsidDel="00000000" w:rsidP="00000000" w:rsidRDefault="00000000" w:rsidRPr="00000000" w14:paraId="000000B9">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many attackers could potentially exploit this vulnerability? If access to the system is limited, fewer attackers can exploit it.</w:t>
                </w:r>
              </w:p>
            </w:tc>
            <w:tc>
              <w:tcPr>
                <w:shd w:val="clear" w:color="auto" w:fill="E2F3DA"/>
              </w:tcPr>
              <w:p w:rsidR="00000000" w:rsidDel="00000000" w:rsidP="00000000" w:rsidRDefault="00000000" w:rsidRPr="00000000" w14:paraId="000000BA">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Fewer attackers reduce the probability of exploitation.</w:t>
                </w:r>
              </w:p>
            </w:tc>
          </w:tr>
          <w:tr>
            <w:trPr>
              <w:cantSplit w:val="1"/>
              <w:trHeight w:val="1351" w:hRule="atLeast"/>
              <w:tblHeader w:val="0"/>
            </w:trPr>
            <w:tc>
              <w:tcPr>
                <w:shd w:val="clear" w:color="auto" w:fill="E2F3DA"/>
              </w:tcPr>
              <w:p w:rsidR="00000000" w:rsidDel="00000000" w:rsidP="00000000" w:rsidRDefault="00000000" w:rsidRPr="00000000" w14:paraId="000000BB">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Cost of Exploit</w:t>
                </w:r>
              </w:p>
            </w:tc>
            <w:tc>
              <w:tcPr>
                <w:shd w:val="clear" w:color="auto" w:fill="E2F3DA"/>
              </w:tcPr>
              <w:p w:rsidR="00000000" w:rsidDel="00000000" w:rsidP="00000000" w:rsidRDefault="00000000" w:rsidRPr="00000000" w14:paraId="000000BC">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expensive are the tools or resources required for exploitation? High costs reduce accessibility for attackers.</w:t>
                </w:r>
              </w:p>
            </w:tc>
            <w:tc>
              <w:tcPr>
                <w:shd w:val="clear" w:color="auto" w:fill="E2F3DA"/>
              </w:tcPr>
              <w:p w:rsidR="00000000" w:rsidDel="00000000" w:rsidP="00000000" w:rsidRDefault="00000000" w:rsidRPr="00000000" w14:paraId="000000BD">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Expensive tools lower the likelihood of exploitation.</w:t>
                </w:r>
              </w:p>
            </w:tc>
          </w:tr>
          <w:tr>
            <w:trPr>
              <w:cantSplit w:val="1"/>
              <w:trHeight w:val="1624" w:hRule="atLeast"/>
              <w:tblHeader w:val="0"/>
            </w:trPr>
            <w:tc>
              <w:tcPr>
                <w:shd w:val="clear" w:color="auto" w:fill="E2F3DA"/>
              </w:tcPr>
              <w:p w:rsidR="00000000" w:rsidDel="00000000" w:rsidP="00000000" w:rsidRDefault="00000000" w:rsidRPr="00000000" w14:paraId="000000BE">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pPr>
                <w:r w:rsidDel="00000000" w:rsidR="00000000" w:rsidRPr="00000000">
                  <w:rPr>
                    <w:rtl w:val="0"/>
                  </w:rPr>
                  <w:t xml:space="preserve">Ease of Exploit</w:t>
                </w:r>
              </w:p>
            </w:tc>
            <w:tc>
              <w:tcPr>
                <w:shd w:val="clear" w:color="auto" w:fill="E2F3DA"/>
              </w:tcPr>
              <w:p w:rsidR="00000000" w:rsidDel="00000000" w:rsidP="00000000" w:rsidRDefault="00000000" w:rsidRPr="00000000" w14:paraId="000000BF">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pPr>
                <w:r w:rsidDel="00000000" w:rsidR="00000000" w:rsidRPr="00000000">
                  <w:rPr>
                    <w:rtl w:val="0"/>
                  </w:rPr>
                  <w:t xml:space="preserve">How simple is it for the attacker to exploit the vulnerability once discovered? Does it rely on external events or tools?</w:t>
                </w:r>
              </w:p>
            </w:tc>
            <w:tc>
              <w:tcPr>
                <w:shd w:val="clear" w:color="auto" w:fill="E2F3DA"/>
              </w:tcPr>
              <w:p w:rsidR="00000000" w:rsidDel="00000000" w:rsidP="00000000" w:rsidRDefault="00000000" w:rsidRPr="00000000" w14:paraId="000000C0">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pPr>
                <w:r w:rsidDel="00000000" w:rsidR="00000000" w:rsidRPr="00000000">
                  <w:rPr>
                    <w:rtl w:val="0"/>
                  </w:rPr>
                  <w:t xml:space="preserve">Complex or multi-step scenarios reduce the chances of successful exploitation.</w:t>
                </w:r>
              </w:p>
            </w:tc>
          </w:tr>
        </w:tbl>
      </w:sdtContent>
    </w:sdt>
    <w:p w:rsidR="00000000" w:rsidDel="00000000" w:rsidP="00000000" w:rsidRDefault="00000000" w:rsidRPr="00000000" w14:paraId="000000C3">
      <w:pPr>
        <w:pageBreakBefore w:val="1"/>
        <w:pStyle w:val="Heading2"/>
        <w:tabs>
          <w:tab w:val="right" w:leader="none" w:pos="9360"/>
          <w:tab w:val="right" w:leader="none" w:pos="9360"/>
          <w:tab w:val="right" w:leader="none" w:pos="9360"/>
          <w:tab w:val="right" w:leader="none" w:pos="9360"/>
        </w:tabs>
        <w:rPr/>
      </w:pPr>
      <w:bookmarkStart w:colFirst="0" w:colLast="0" w:name="_heading=h.wklw5pr1a8z2" w:id="16"/>
      <w:bookmarkEnd w:id="16"/>
      <w:r w:rsidDel="00000000" w:rsidR="00000000" w:rsidRPr="00000000">
        <w:rPr>
          <w:rtl w:val="0"/>
        </w:rPr>
        <w:t xml:space="preserve">Overall Risk</w:t>
      </w:r>
    </w:p>
    <w:p w:rsidR="00000000" w:rsidDel="00000000" w:rsidP="00000000" w:rsidRDefault="00000000" w:rsidRPr="00000000" w14:paraId="000000C4">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after="200" w:lineRule="auto"/>
        <w:rPr/>
      </w:pPr>
      <w:r>
        <w:rPr>
          <w:color w:val="000000"/>
        </w:rPr>
        <w:t xml:space="preserve">The following graph illustrates how Impact x Likelihood scores translate to overall Low, Medium, and High-risk ratings:</w:t>
      </w:r>
    </w:p>
    <w:p w:rsidR="00000000" w:rsidDel="00000000" w:rsidP="00000000" w:rsidRDefault="00000000" w:rsidRPr="00000000" w14:paraId="000000C5">
      <w:pPr>
        <w:numPr>
          <w:ilvl w:val="0"/>
          <w:numId w:val="11"/>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Low Impact + Low Likelihood</w:t>
      </w:r>
      <w:r>
        <w:rPr>
          <w:color w:val="000000"/>
        </w:rPr>
        <w:t xml:space="preserve"> = Low Risk</w:t>
      </w:r>
    </w:p>
    <w:p w:rsidR="00000000" w:rsidDel="00000000" w:rsidP="00000000" w:rsidRDefault="00000000" w:rsidRPr="00000000" w14:paraId="000000C5">
      <w:pPr>
        <w:numPr>
          <w:ilvl w:val="0"/>
          <w:numId w:val="11"/>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High Impact + High Likelihood</w:t>
      </w:r>
      <w:r>
        <w:rPr>
          <w:color w:val="000000"/>
        </w:rPr>
        <w:t xml:space="preserve"> = Critical Risk</w:t>
      </w:r>
    </w:p>
    <w:p>
      <w:pPr>
        <w:jc w:val="center"/>
      </w:pPr>
      <w:r>
        <w:drawing>
          <wp:inline xmlns:wp="http://schemas.openxmlformats.org/drawingml/2006/wordprocessingDrawing" distT="0" distB="0" distL="0" distR="0">
            <wp:extent cx="4400550" cy="3552825"/>
            <wp:effectExtent l="0" t="0" r="0" b="0"/>
            <wp:docPr id="999" name="Risk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 name="Risk Matrix"/>
                    <pic:cNvPicPr/>
                  </pic:nvPicPr>
                  <pic:blipFill>
                    <a:blip xmlns:r="http://schemas.openxmlformats.org/officeDocument/2006/relationships" r:embed="rIdRiskMatrixImage"/>
                    <a:stretch>
                      <a:fillRect/>
                    </a:stretch>
                  </pic:blipFill>
                  <pic:spPr>
                    <a:xfrm>
                      <a:off x="0" y="0"/>
                      <a:ext cx="4400550" cy="3552825"/>
                    </a:xfrm>
                    <a:prstGeom prst="rect">
                      <a:avLst/>
                    </a:prstGeom>
                  </pic:spPr>
                </pic:pic>
              </a:graphicData>
            </a:graphic>
          </wp:inline>
        </w:drawing>
      </w:r>
    </w:p>
    <w:p w:rsidR="00000000" w:rsidDel="00000000" w:rsidP="00000000" w:rsidRDefault="00000000" w:rsidRPr="00000000" w14:paraId="000000C9">
      <w:pPr>
        <w:pStyle w:val="Heading2"/>
        <w:tabs>
          <w:tab w:val="right" w:leader="none" w:pos="9360"/>
          <w:tab w:val="right" w:leader="none" w:pos="9360"/>
          <w:tab w:val="right" w:leader="none" w:pos="9360"/>
        </w:tabs>
        <w:rPr/>
      </w:pPr>
      <w:bookmarkStart w:colFirst="0" w:colLast="0" w:name="_heading=h.2p2csry" w:id="17"/>
      <w:bookmarkEnd w:id="17"/>
      <w:r w:rsidDel="00000000" w:rsidR="00000000" w:rsidRPr="00000000">
        <w:rPr>
          <w:rtl w:val="0"/>
        </w:rPr>
        <w:t xml:space="preserve">Zero-risk Issues</w:t>
      </w:r>
    </w:p>
    <w:p w:rsidR="00000000" w:rsidDel="00000000" w:rsidP="00000000" w:rsidRDefault="00000000" w:rsidRPr="00000000" w14:paraId="000000CA">
      <w:pPr>
        <w:widowControl w:val="1"/>
        <w:tabs>
          <w:tab w:val="right" w:leader="none" w:pos="9360"/>
          <w:tab w:val="right" w:leader="none" w:pos="9360"/>
          <w:tab w:val="right" w:leader="none" w:pos="9360"/>
          <w:tab w:val="right" w:leader="none" w:pos="9360"/>
        </w:tabs>
        <w:spacing w:before="0" w:line="276" w:lineRule="auto"/>
        <w:rPr/>
      </w:pPr>
      <w:r>
        <w:rPr>
          <w:color w:val="000000"/>
        </w:rPr>
        <w:t xml:space="preserve">There are cases where a particular issue doesn't have direct security impact or likelihood of exploitation. These could be issues related to documentation or semantics that are suggested based on the security assessors' technical and industry experience. Such issues shall be reported with an Informational risk rating.</w:t>
      </w:r>
    </w:p>
    <w:p>
      <w:r>
        <w:br w:type="page"/>
      </w:r>
    </w:p>
    <w:p w:rsidR="00000000" w:rsidDel="00000000" w:rsidP="00000000" w:rsidRDefault="00000000" w:rsidRPr="00000000" w14:paraId="000000CB">
      <w:pPr>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147n2zr" w:id="18"/>
      <w:bookmarkEnd w:id="18"/>
      <w:r w:rsidDel="00000000" w:rsidR="00000000" w:rsidRPr="00000000">
        <w:rPr>
          <w:rtl w:val="0"/>
        </w:rPr>
        <w:t xml:space="preserve">Vulnerabilities</w:t>
      </w:r>
    </w:p>
    <w:p w:rsidR="00000000" w:rsidDel="00000000" w:rsidP="00000000" w:rsidRDefault="00000000" w:rsidRPr="00000000" w14:paraId="000000CC">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o7alnk" w:id="19"/>
      <w:bookmarkEnd w:id="19"/>
      <w:r w:rsidDel="00000000" w:rsidR="00000000" w:rsidRPr="00000000">
        <w:rPr>
          <w:rtl w:val="0"/>
        </w:rPr>
        <w:t xml:space="preserve">Summary</w:t>
      </w:r>
    </w:p>
    <w:p w:rsidR="00000000" w:rsidDel="00000000" w:rsidP="00000000" w:rsidRDefault="00000000" w:rsidRPr="00000000" w14:paraId="000000CD">
      <w:pPr>
        <w:tabs>
          <w:tab w:val="right" w:leader="none" w:pos="9360"/>
          <w:tab w:val="right" w:leader="none" w:pos="9360"/>
          <w:tab w:val="right" w:leader="none" w:pos="9360"/>
          <w:tab w:val="right" w:leader="none" w:pos="9360"/>
          <w:tab w:val="right" w:leader="none" w:pos="9360"/>
          <w:tab w:val="right" w:leader="none" w:pos="9360"/>
        </w:tabs>
        <w:ind w:left="0" w:firstLine="0"/>
        <w:rPr/>
        <w:keepNext w:val="1"/>
      </w:pPr>
      <w:r>
        <w:rPr>
          <w:color w:val="000000"/>
        </w:rPr>
        <w:t xml:space="preserve">Below is a summary of the vulnerabilities discovered during the assessment, ranked in order of risk as determined.</w:t>
      </w:r>
    </w:p>
    <w:tbl>
      <w:tblPr>
        <w:tblStyle w:val="Table6"/>
        <w:tblW w:w="5000" w:type="pct"/>
        <w:jc w:val="left"/>
        <w:tblBorders>
          <w:top w:color="4ebc22" w:space="0" w:sz="8" w:val="single"/>
          <w:left w:color="4ebc22" w:space="0" w:sz="8" w:val="single"/>
          <w:bottom w:color="4ebc22" w:space="0" w:sz="8" w:val="single"/>
          <w:right w:color="4ebc22" w:space="0" w:sz="8" w:val="single"/>
          <w:insideH w:color="4ebc22" w:space="0" w:sz="8" w:val="single"/>
          <w:insideV w:color="4ebc22" w:space="0" w:sz="8" w:val="single"/>
        </w:tblBorders>
        <w:tblLayout w:type="fixed"/>
        <w:tblLook w:val="0000"/>
      </w:tblPr>
      <w:tblGrid>
        <w:gridCol w:w="4845"/>
        <w:gridCol w:w="1470"/>
        <w:gridCol w:w="1770"/>
        <w:gridCol w:w="1515"/>
        <w:tblGridChange w:id="0">
          <w:tblGrid>
            <w:gridCol w:w="4845"/>
            <w:gridCol w:w="1470"/>
            <w:gridCol w:w="1770"/>
            <w:gridCol w:w="1515"/>
          </w:tblGrid>
        </w:tblGridChange>
      </w:tblGrid>
      <w:tr>
        <w:trPr>
          <w:cantSplit w:val="1"/>
          <w:trHeight w:val="286" w:hRule="atLeast"/>
          <w:tblHeader w:val="0"/>
        </w:trPr>
        <w:tc>
          <w:tcPr>
            <w:tcW w:type="pct" w:w="4250"/>
            <w:tcBorders>
              <w:top w:color="000000" w:space="0" w:sz="0" w:val="nil"/>
              <w:left w:color="000000" w:space="0" w:sz="0" w:val="nil"/>
              <w:bottom w:color="eafde3" w:space="0" w:sz="8" w:val="single"/>
              <w:right w:color="000000" w:space="0" w:sz="0" w:val="nil"/>
            </w:tcBorders>
            <w:shd w:fill="4CC51F" w:val="clear" w:color="auto"/>
            <w:tcMar>
              <w:top w:w="43.2" w:type="dxa"/>
              <w:left w:w="43.2" w:type="dxa"/>
              <w:bottom w:w="43.2" w:type="dxa"/>
              <w:right w:w="43.2" w:type="dxa"/>
            </w:tcMar>
          </w:tcPr>
          <w:p w:rsidR="00000000" w:rsidDel="00000000" w:rsidP="00000000" w:rsidRDefault="00000000" w:rsidRPr="00000000" w14:paraId="000000CF">
            <w:pPr>
              <w:spacing w:after="20" w:before="20" w:line="276" w:lineRule="auto"/>
              <w:ind w:left="10" w:firstLine="0"/>
              <w:jc w:val="center"/>
              <w:rPr>
                <w:b w:val="1"/>
                <w:bCs w:val="1"/>
              </w:rPr>
              <w:keepNext w:val="1"/>
            </w:pPr>
            <w:r w:rsidDel="00000000" w:rsidR="00000000" w:rsidRPr="00000000">
              <w:rPr>
                <w:b w:val="1"/>
                <w:bCs w:val="1"/>
                <w:color w:val="FFFFFF"/>
                <w:rtl w:val="0"/>
              </w:rPr>
              <w:t xml:space="preserve">Vulnerability</w:t>
            </w:r>
            <w:r w:rsidDel="00000000" w:rsidR="00000000" w:rsidRPr="00000000">
              <w:rPr>
                <w:rtl w:val="0"/>
                <w:color w:val="FFFFFF"/>
              </w:rPr>
            </w:r>
          </w:p>
        </w:tc>
        <w:tc>
          <w:tcPr>
            <w:tcW w:type="pct" w:w="750"/>
            <w:tcBorders>
              <w:top w:color="000000" w:space="0" w:sz="0" w:val="nil"/>
              <w:left w:color="000000" w:space="0" w:sz="0" w:val="nil"/>
              <w:bottom w:color="eafde3" w:space="0" w:sz="8" w:val="single"/>
              <w:right w:color="000000" w:space="0" w:sz="0" w:val="nil"/>
            </w:tcBorders>
            <w:shd w:fill="4CC51F" w:val="clear" w:color="auto"/>
            <w:tcMar>
              <w:top w:w="43.2" w:type="dxa"/>
              <w:left w:w="43.2" w:type="dxa"/>
              <w:bottom w:w="43.2" w:type="dxa"/>
              <w:right w:w="43.2" w:type="dxa"/>
            </w:tcMar>
          </w:tcPr>
          <w:p w:rsidR="00000000" w:rsidDel="00000000" w:rsidP="00000000" w:rsidRDefault="00000000" w:rsidRPr="00000000" w14:paraId="000000D0">
            <w:pPr>
              <w:spacing w:after="20" w:before="20" w:line="276" w:lineRule="auto"/>
              <w:ind w:left="20" w:firstLine="0"/>
              <w:jc w:val="center"/>
              <w:rPr>
                <w:b w:val="1"/>
                <w:bCs w:val="1"/>
              </w:rPr>
              <w:keepNext w:val="1"/>
            </w:pPr>
            <w:r w:rsidDel="00000000" w:rsidR="00000000" w:rsidRPr="00000000">
              <w:rPr>
                <w:b w:val="1"/>
                <w:bCs w:val="1"/>
                <w:color w:val="FFFFFF"/>
                <w:rtl w:val="0"/>
              </w:rPr>
              <w:t xml:space="preserve">Risk</w:t>
            </w:r>
            <w:r w:rsidDel="00000000" w:rsidR="00000000" w:rsidRPr="00000000">
              <w:rPr>
                <w:rtl w:val="0"/>
                <w:color w:val="FFFFFF"/>
              </w:rPr>
            </w:r>
          </w:p>
        </w:tc>
      </w:tr>
      <w:tr>
        <w:trPr>
          <w:cantSplit w:val="1"/>
          <w:trHeight w:val="259" w:hRule="atLeast"/>
          <w:tblHeader w:val="0"/>
        </w:trPr>
        <w:tc>
          <w:tcPr>
            <w:tcW w:type="pct" w:w="4250"/>
            <w:tcBorders>
              <w:top w:color="eafde3" w:space="0" w:sz="8" w:val="single"/>
              <w:left w:color="eafde3" w:space="0" w:sz="8" w:val="single"/>
              <w:bottom w:color="eafde3" w:space="0" w:sz="8" w:val="single"/>
              <w:right w:color="eafde3" w:space="0" w:sz="8" w:val="single"/>
            </w:tcBorders>
            <w:shd w:fill="E2F3DA" w:val="clear" w:color="auto"/>
            <w:tcMar>
              <w:top w:w="43.2" w:type="dxa"/>
              <w:left w:w="43.2" w:type="dxa"/>
              <w:bottom w:w="43.2" w:type="dxa"/>
              <w:right w:w="43.2" w:type="dxa"/>
            </w:tcMar>
          </w:tcPr>
          <w:p w:rsidR="00000000" w:rsidDel="00000000" w:rsidP="00000000" w:rsidRDefault="00000000" w:rsidRPr="00000000" w14:paraId="000000D3">
            <w:pPr>
              <w:spacing w:after="20" w:before="20" w:line="276" w:lineRule="auto"/>
              <w:ind w:left="10" w:firstLine="0"/>
              <w:jc w:val="left"/>
              <w:rPr>
                <w:b w:val="1"/>
                <w:bCs w:val="1"/>
              </w:rPr>
              <w:keepNext w:val="1"/>
            </w:pPr>
            <w:r w:rsidDel="00000000" w:rsidR="00000000" w:rsidRPr="00000000">
              <w:rPr>
                <w:b w:val="1"/>
                <w:bCs w:val="1"/>
                <w:rtl w:val="0"/>
              </w:rPr>
              <w:t xml:space="preserve">Broken Access Control Leading to Account Takeover via API Endpoint</w:t>
            </w:r>
          </w:p>
        </w:tc>
        <w:tc>
          <w:tcPr>
            <w:tcW w:type="pct" w:w="750"/>
            <w:tcBorders>
              <w:top w:color="eafde3" w:space="0" w:sz="8" w:val="single"/>
              <w:left w:color="eafde3" w:space="0" w:sz="8" w:val="single"/>
              <w:bottom w:color="eafde3" w:space="0" w:sz="8" w:val="single"/>
              <w:right w:color="eafde3" w:space="0" w:sz="8" w:val="single"/>
            </w:tcBorders>
            <w:shd w:fill="FFC000" w:val="clear"/>
            <w:tcMar>
              <w:top w:w="43.2" w:type="dxa"/>
              <w:left w:w="43.2" w:type="dxa"/>
              <w:bottom w:w="43.2" w:type="dxa"/>
              <w:right w:w="43.2" w:type="dxa"/>
            </w:tcMar>
          </w:tcPr>
          <w:p w:rsidR="00000000" w:rsidDel="00000000" w:rsidP="00000000" w:rsidRDefault="00000000" w:rsidRPr="00000000" w14:paraId="000000D4">
            <w:pPr>
              <w:spacing w:after="20" w:before="20" w:line="276" w:lineRule="auto"/>
              <w:ind w:left="20" w:firstLine="0"/>
              <w:jc w:val="center"/>
              <w:rPr>
                <w:b w:val="1"/>
                <w:bCs w:val="1"/>
              </w:rPr>
              <w:keepNext w:val="1"/>
            </w:pPr>
            <w:r w:rsidDel="00000000" w:rsidR="00000000" w:rsidRPr="00000000">
              <w:rPr>
                <w:b w:val="1"/>
                <w:bCs w:val="1"/>
                <w:rtl w:val="0"/>
              </w:rPr>
              <w:t xml:space="preserve">Medium</w:t>
            </w:r>
          </w:p>
        </w:tc>
      </w:tr>
    </w:tbl>
    <w:p>
      <w:r>
        <w:br w:type="page"/>
      </w:r>
    </w:p>
    <w:p w:rsidR="00000000" w:rsidDel="00000000" w:rsidP="00000000" w:rsidRDefault="00000000" w:rsidRPr="00000000" w14:paraId="00000102">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23ckvvd" w:id="23"/>
      <w:bookmarkEnd w:id="23"/>
      <w:r w:rsidDel="00000000" w:rsidR="00000000" w:rsidRPr="00000000">
        <w:rPr>
          <w:rtl w:val="0"/>
        </w:rPr>
        <w:t xml:space="preserve">Detailed Vulnerabilities</w:t>
      </w:r>
    </w:p>
    <w:p w:rsidR="00000000" w:rsidDel="00000000" w:rsidP="00000000" w:rsidRDefault="00000000" w:rsidRPr="00000000" w14:paraId="00000103">
      <w:pPr>
        <w:pStyle w:val="Heading3"/>
        <w:tabs>
          <w:tab w:val="right" w:leader="none" w:pos="9360"/>
          <w:tab w:val="right" w:leader="none" w:pos="9360"/>
          <w:tab w:val="right" w:leader="none" w:pos="9360"/>
          <w:tab w:val="right" w:leader="none" w:pos="9360"/>
          <w:tab w:val="right" w:leader="none" w:pos="9360"/>
          <w:tab w:val="right" w:leader="none" w:pos="9360"/>
        </w:tabs>
        <w:rPr>
          <w:rFonts w:ascii="Roboto" w:hAnsi="Roboto" w:cs="Roboto" w:eastAsia="Roboto"/>
          <w:smallCaps w:val="1"/>
          <w:color w:val="000000"/>
          <w:sz w:val="32"/>
          <w:szCs w:val="32"/>
        </w:rPr>
        <w:outlineLvl w:val="2"/>
      </w:pPr>
      <w:bookmarkStart w:colFirst="0" w:colLast="0" w:name="_heading=h.5cxcshn96858" w:id="24"/>
      <w:bookmarkEnd w:id="24"/>
      <w:r w:rsidDel="00000000" w:rsidR="00000000" w:rsidRPr="00000000">
        <w:rPr>
          <w:rFonts w:ascii="Roboto" w:hAnsi="Roboto" w:cs="Roboto" w:eastAsia="Roboto"/>
          <w:sz w:val="24"/>
          <w:szCs w:val="24"/>
          <w:rtl w:val="0"/>
        </w:rPr>
        <w:t xml:space="preserve">Broken Access Control Leading to Account Takeover via API Endpoint</w:t>
      </w:r>
      <w:r w:rsidDel="00000000" w:rsidR="00000000" w:rsidRPr="00000000">
        <w:rPr>
          <w:rFonts w:ascii="Roboto" w:hAnsi="Roboto" w:cs="Roboto" w:eastAsia="Roboto"/>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Risk:</w:t>
      </w:r>
      <w:r>
        <w:rPr>
          <w:color w:val="000000"/>
        </w:rPr>
        <w:t xml:space="preserve"> </w:t>
      </w:r>
      <w:r>
        <w:rPr>
          <w:b w:val="1"/>
          <w:bCs w:val="1"/>
          <w:color w:val="C59A00"/>
        </w:rPr>
        <w:t xml:space="preserve">Medium</w:t>
      </w:r>
    </w:p>
    <w:p w:rsidR="00000000" w:rsidDel="00000000" w:rsidP="00000000" w:rsidRDefault="00000000" w:rsidRPr="00000000" w14:paraId="00000105">
      <w:pPr>
        <w:widowControl w:val="1"/>
        <w:tabs>
          <w:tab w:val="right" w:leader="none" w:pos="9360"/>
        </w:tabs>
        <w:spacing w:after="120" w:before="240" w:line="240" w:lineRule="auto"/>
        <w:ind w:right="288"/>
        <w:jc w:val="left"/>
        <w:rPr>
          <w:b w:val="1"/>
          <w:bCs w:val="1"/>
        </w:rPr>
      </w:pPr>
      <w:r w:rsidDel="00000000" w:rsidR="00000000" w:rsidRPr="00000000">
        <w:rPr>
          <w:b w:val="1"/>
          <w:bCs w:val="1"/>
          <w:rtl w:val="0"/>
        </w:rPr>
        <w:t xml:space="preserve">Description:</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application implements role-based access control to restrict access to sensitive user information. While the normal application interface prevents lower-privileged users from viewing other users' details, the backend API endpoints responsible for retrieving user account information do not properly enforce authorization checks. A low-privileged authenticated user can directly access these API endpoints to retrieve sensitive information belonging to other users without authorization. The exposed response includes complete user account details, including usernames and passwords stored in clear text. This direct disclosure of credentials enables an attacker to authenticate as any user within the application, leading to full account compromise.</w:t>
      </w:r>
      <w:r>
        <w:rPr>
          <w:color w:val="000000"/>
        </w:rPr>
        <w:t xml:space="preserve"/>
      </w:r>
      <w:r>
        <w:rPr>
          <w:color w:val="000000"/>
        </w:rPr>
        <w:t xml:space="preserve"/>
      </w:r>
    </w:p>
    <w:p w:rsidR="00000000" w:rsidDel="00000000" w:rsidP="00000000" w:rsidRDefault="00000000" w:rsidRPr="00000000" w14:paraId="00000107">
      <w:pPr>
        <w:tabs>
          <w:tab w:val="right" w:leader="none" w:pos="9360"/>
        </w:tabs>
        <w:rPr>
          <w:b w:val="1"/>
          <w:bCs w:val="1"/>
        </w:rPr>
        <w:spacing w:before="240" w:after="120"/>
      </w:pPr>
      <w:r w:rsidDel="00000000" w:rsidR="00000000" w:rsidRPr="00000000">
        <w:rPr>
          <w:b w:val="1"/>
          <w:bCs w:val="1"/>
          <w:rtl w:val="0"/>
        </w:rPr>
        <w:t xml:space="preserve">Affected URL:</w:t>
      </w:r>
    </w:p>
    <w:p w:rsidR="00000000" w:rsidDel="00000000" w:rsidP="00000000" w:rsidRDefault="00000000" w:rsidRPr="00000000" w14:paraId="00000108">
      <w:pPr>
        <w:numPr>
          <w:ilvl w:val="0"/>
          <w:numId w:val="16"/>
        </w:numPr>
        <w:tabs>
          <w:tab w:val="right" w:leader="none" w:pos="9360"/>
        </w:tabs>
        <w:ind w:left="720" w:hanging="360"/>
        <w:rPr/>
        <w:spacing w:before="0" w:after="120"/>
      </w:pPr>
      <w:r>
        <w:rPr>
          <w:color w:val="1155CC"/>
          <w:u w:val="single"/>
        </w:rPr>
        <w:t xml:space="preserve">https://www.dev.blackrockgalleries.com/auction-admin/add_admin.php</w:t>
      </w:r>
    </w:p>
    <w:p w:rsidR="00000000" w:rsidDel="00000000" w:rsidP="00000000" w:rsidRDefault="00000000" w:rsidRPr="00000000" w14:paraId="0000010A">
      <w:pPr>
        <w:widowControl w:val="1"/>
        <w:tabs>
          <w:tab w:val="right" w:leader="none" w:pos="9360"/>
        </w:tabs>
        <w:spacing w:after="120" w:before="240" w:line="240" w:lineRule="auto"/>
        <w:ind w:right="288"/>
        <w:rPr>
          <w:b w:val="1"/>
          <w:bCs w:val="1"/>
        </w:rPr>
      </w:pPr>
      <w:r w:rsidDel="00000000" w:rsidR="00000000" w:rsidRPr="00000000">
        <w:rPr>
          <w:b w:val="1"/>
          <w:bCs w:val="1"/>
          <w:rtl w:val="0"/>
        </w:rPr>
        <w:t xml:space="preserve">Impact and Likelihood: </w:t>
      </w:r>
    </w:p>
    <w:p w:rsidR="00000000" w:rsidDel="00000000" w:rsidP="00000000" w:rsidRDefault="00000000" w:rsidRPr="00000000" w14:paraId="00000108">
      <w:pPr>
        <w:numPr>
          <w:ilvl w:val="0"/>
          <w:numId w:val="16"/>
        </w:numPr>
        <w:tabs>
          <w:tab w:val="right" w:leader="none" w:pos="9360"/>
        </w:tabs>
        <w:ind w:left="720" w:hanging="360"/>
        <w:rPr/>
        <w:spacing w:before="0" w:after="80"/>
      </w:pPr>
      <w:r>
        <w:rPr>
          <w:b w:val="1"/>
          <w:bCs w:val="1"/>
          <w:color w:val="000000"/>
        </w:rPr>
        <w:t xml:space="preserve">Impact: </w:t>
      </w:r>
      <w:r>
        <w:rPr>
          <w:b w:val="1"/>
          <w:bCs w:val="1"/>
          <w:color w:val="000000"/>
        </w:rPr>
        <w:t xml:space="preserve">High </w:t>
      </w:r>
      <w:r>
        <w:rPr>
          <w:color w:val="000000"/>
        </w:rPr>
        <w:t xml:space="preserve">– </w:t>
      </w:r>
      <w:r>
        <w:rPr>
          <w:color w:val="000000"/>
        </w:rPr>
        <w:t xml:space="preserve">The impact of this vulnerability is severe, as it allows for complete account takeover of any user within the application, including administrative accounts if present. An attacker can gain unauthorized access to sensitive data, perform actions on behalf of other users, and potentially escalate privileges. This can lead to data breaches, reputational damage, financial losses, and compromise the integrity and confidentiality of the application and its users.</w:t>
      </w:r>
    </w:p>
    <w:p w:rsidR="00000000" w:rsidDel="00000000" w:rsidP="00000000" w:rsidRDefault="00000000" w:rsidRPr="00000000" w14:paraId="00000108">
      <w:pPr>
        <w:numPr>
          <w:ilvl w:val="0"/>
          <w:numId w:val="16"/>
        </w:numPr>
        <w:tabs>
          <w:tab w:val="right" w:leader="none" w:pos="9360"/>
        </w:tabs>
        <w:ind w:left="720" w:hanging="360"/>
        <w:rPr/>
        <w:spacing w:before="0" w:after="120"/>
      </w:pPr>
      <w:r>
        <w:rPr>
          <w:b w:val="1"/>
          <w:bCs w:val="1"/>
          <w:color w:val="000000"/>
        </w:rPr>
        <w:t xml:space="preserve">Likelihood: </w:t>
      </w:r>
      <w:r>
        <w:rPr>
          <w:b w:val="1"/>
          <w:bCs w:val="1"/>
          <w:color w:val="000000"/>
        </w:rPr>
        <w:t xml:space="preserve">High </w:t>
      </w:r>
      <w:r>
        <w:rPr>
          <w:color w:val="000000"/>
        </w:rPr>
        <w:t xml:space="preserve">– </w:t>
      </w:r>
      <w:r>
        <w:rPr>
          <w:color w:val="000000"/>
        </w:rPr>
        <w:t xml:space="preserve">Exploitation of this vulnerability is highly likely as it only requires a low-privileged authenticated user to directly access a specific API endpoint. The lack of server-side authorization checks on the API, combined with the clear text disclosure of passwords, makes it straightforward for an attacker to enumerate and compromise user accounts with minimal effort.</w:t>
      </w:r>
    </w:p>
    <w:p w:rsidR="00000000" w:rsidDel="00000000" w:rsidP="00000000" w:rsidRDefault="00000000" w:rsidRPr="00000000" w14:paraId="0000010E">
      <w:pPr>
        <w:tabs>
          <w:tab w:val="right" w:leader="none" w:pos="9360"/>
        </w:tabs>
        <w:rPr>
          <w:b w:val="1"/>
          <w:bCs w:val="1"/>
        </w:rPr>
        <w:spacing w:before="240" w:after="120"/>
      </w:pPr>
      <w:r w:rsidDel="00000000" w:rsidR="00000000" w:rsidRPr="00000000">
        <w:rPr>
          <w:b w:val="1"/>
          <w:bCs w:val="1"/>
          <w:rtl w:val="0"/>
        </w:rPr>
        <w:t xml:space="preserve">Steps to Reproduce:</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1:</w:t>
      </w:r>
      <w:r>
        <w:rPr>
          <w:color w:val="000000"/>
        </w:rPr>
        <w:t xml:space="preserve"> Log in to the application as a low-privileged user (e.g., 'manager' role).</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jc w:val="center"/>
      </w:pPr>
      <w:r>
        <w:rPr>
          <w:i w:val="1"/>
          <w:iCs w:val="1"/>
          <w:color w:val="9ca3af"/>
        </w:rPr>
        <w:t xml:space="preserve">Fig 1: Lower user logged in into admin portal. </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2:</w:t>
      </w:r>
      <w:r>
        <w:rPr>
          <w:color w:val="000000"/>
        </w:rPr>
        <w:t xml:space="preserve"> Construct a direct request to the vulnerable API endpoint, for example: `https://www.dev.blackrockgalleries.com/auction-admin/add_admin.php?id=137` (where 'id' is a valid user ID).</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jc w:val="center"/>
      </w:pPr>
      <w:r>
        <w:rPr>
          <w:i w:val="1"/>
          <w:iCs w:val="1"/>
          <w:color w:val="9ca3af"/>
        </w:rPr>
        <w:t xml:space="preserve">Fig 2: Forced browsing to view admin user details.</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3:</w:t>
      </w:r>
      <w:r>
        <w:rPr>
          <w:color w:val="000000"/>
        </w:rPr>
        <w:t xml:space="preserve"> Observe the response, which contains the complete user account details, including the username and password in clear text.</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4:</w:t>
      </w:r>
      <w:r>
        <w:rPr>
          <w:color w:val="000000"/>
        </w:rPr>
        <w:t xml:space="preserve"> Use the retrieved clear text credentials to log in as the compromised user, confirming account takeover.</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jc w:val="center"/>
      </w:pPr>
      <w:r>
        <w:rPr>
          <w:i w:val="1"/>
          <w:iCs w:val="1"/>
          <w:color w:val="9ca3af"/>
        </w:rPr>
        <w:t xml:space="preserve">Fig 4: Shows clear text password revealed in HTTP response.</w:t>
      </w:r>
    </w:p>
    <w:p w:rsidR="00000000" w:rsidDel="00000000" w:rsidP="00000000" w:rsidRDefault="00000000" w:rsidRPr="00000000" w14:paraId="0000011C">
      <w:pPr>
        <w:tabs>
          <w:tab w:val="right" w:leader="none" w:pos="9360"/>
          <w:tab w:val="right" w:leader="none" w:pos="9360"/>
          <w:tab w:val="right" w:leader="none" w:pos="9360"/>
          <w:tab w:val="right" w:leader="none" w:pos="9360"/>
          <w:tab w:val="right" w:leader="none" w:pos="9360"/>
        </w:tabs>
        <w:spacing w:after="120" w:before="240" w:lineRule="auto"/>
        <w:jc w:val="left"/>
        <w:rPr>
          <w:b w:val="1"/>
          <w:bCs w:val="1"/>
        </w:rPr>
      </w:pPr>
      <w:r w:rsidDel="00000000" w:rsidR="00000000" w:rsidRPr="00000000">
        <w:rPr>
          <w:b w:val="1"/>
          <w:bCs w:val="1"/>
          <w:rtl w:val="0"/>
        </w:rPr>
        <w:t xml:space="preserve">Recommendations:</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Access Control:</w:t>
      </w:r>
      <w:r>
        <w:rPr>
          <w:color w:val="000000"/>
        </w:rPr>
        <w:t xml:space="preserve"> Implement robust server-side authorization checks for all API endpoints. Ensure that every request to an API endpoint verifies the user's permissions and role before granting access to sensitive data or functionality. This should be enforced at the backend, independent of any client-side controls.</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Secure Credential Storage:</w:t>
      </w:r>
      <w:r>
        <w:rPr>
          <w:color w:val="000000"/>
        </w:rPr>
        <w:t xml:space="preserve"> Never store passwords in clear text. All user passwords must be stored using strong, one-way cryptographic hashing functions (e.g., bcrypt, Argon2, scrypt) with a unique salt for each password. This prevents the direct disclosure of credentials even if the database is compromised.</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Principle of Least Privilege:</w:t>
      </w:r>
      <w:r>
        <w:rPr>
          <w:color w:val="000000"/>
        </w:rPr>
        <w:t xml:space="preserve"> Ensure that users and roles are granted only the minimum necessary permissions to perform their intended functions. Restrict access to administrative functions and sensitive data to only authorized personnel.</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Input Validation:</w:t>
      </w:r>
      <w:r>
        <w:rPr>
          <w:color w:val="000000"/>
        </w:rPr>
        <w:t xml:space="preserve"> Implement strict input validation for all parameters, especially those used to identify resources (e.g., user IDs). This can help prevent Insecure Direct Object Reference (IDOR) vulnerabilities.</w:t>
      </w:r>
    </w:p>
    <w:p w:rsidR="00000000" w:rsidDel="00000000" w:rsidP="00000000" w:rsidRDefault="00000000" w:rsidRPr="00000000" w14:paraId="0000011E">
      <w:pPr>
        <w:tabs>
          <w:tab w:val="right" w:leader="none" w:pos="9360"/>
          <w:tab w:val="right" w:leader="none" w:pos="9360"/>
          <w:tab w:val="right" w:leader="none" w:pos="9360"/>
          <w:tab w:val="right" w:leader="none" w:pos="9360"/>
          <w:tab w:val="right" w:leader="none" w:pos="9360"/>
        </w:tabs>
        <w:spacing w:after="120" w:before="240" w:lineRule="auto"/>
        <w:jc w:val="left"/>
        <w:rPr>
          <w:b w:val="1"/>
          <w:bCs w:val="1"/>
        </w:rPr>
      </w:pPr>
      <w:r w:rsidDel="00000000" w:rsidR="00000000" w:rsidRPr="00000000">
        <w:rPr>
          <w:b w:val="1"/>
          <w:bCs w:val="1"/>
          <w:rtl w:val="0"/>
        </w:rPr>
        <w:t xml:space="preserve">References:</w:t>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https://owasp.org/www-project-top-ten/2021/A01_2021-Broken_Access_Control</w:t>
        </w:r>
      </w:hyperlink>
      <w:r w:rsidDel="00000000" w:rsidR="00000000" w:rsidRPr="00000000">
        <w:rPr>
          <w:rtl w:val="0"/>
          <w:u w:val="single"/>
          <w:color w:val="1155CC"/>
        </w:rPr>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https://cwe.mitre.org/data/definitions/284.html</w:t>
        </w:r>
      </w:hyperlink>
      <w:r w:rsidDel="00000000" w:rsidR="00000000" w:rsidRPr="00000000">
        <w:rPr>
          <w:rtl w:val="0"/>
          <w:u w:val="single"/>
          <w:color w:val="1155CC"/>
        </w:rPr>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https://cwe.mitre.org/data/definitions/256.html</w:t>
        </w:r>
      </w:hyperlink>
      <w:r w:rsidDel="00000000" w:rsidR="00000000" w:rsidRPr="00000000">
        <w:rPr>
          <w:rtl w:val="0"/>
          <w:u w:val="single"/>
          <w:color w:val="1155CC"/>
        </w:rPr>
      </w:r>
    </w:p>
    <w:p w:rsidR="00000000" w:rsidDel="00000000" w:rsidP="00000000" w:rsidRDefault="00000000" w:rsidRPr="00000000" w14:paraId="000001AF">
      <w:pPr>
        <w:pStyle w:val="Heading1"/>
        <w:pageBreakBefore w:val="1"/>
        <w:tabs>
          <w:tab w:val="right" w:leader="none" w:pos="9360"/>
        </w:tabs>
        <w:spacing w:line="240" w:lineRule="auto"/>
        <w:jc w:val="left"/>
        <w:rPr/>
        <w:keepNext w:val="1"/>
      </w:pPr>
      <w:bookmarkStart w:colFirst="0" w:colLast="0" w:name="_heading=h.7eg1hn8ws84h" w:id="59"/>
      <w:bookmarkEnd w:id="59"/>
      <w:r w:rsidDel="00000000" w:rsidR="00000000" w:rsidRPr="00000000">
        <w:rPr>
          <w:rtl w:val="0"/>
        </w:rPr>
        <w:t xml:space="preserve">Appendix A</w:t>
      </w:r>
      <w:r w:rsidDel="00000000" w:rsidR="00000000" w:rsidRPr="00000000">
        <w:rPr>
          <w:rtl w:val="0"/>
        </w:rPr>
      </w:r>
    </w:p>
    <w:p w:rsidR="00000000" w:rsidDel="00000000" w:rsidP="00000000" w:rsidRDefault="00000000" w:rsidRPr="00000000" w14:paraId="000001B0">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The appendix content below is static template material and will be rendered into reports that use this template.</w:t>
      </w:r>
    </w:p>
    <w:tbl>
      <w:tblPr>
        <w:tblStyle w:val="Table7"/>
        <w:tblW w:w="935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283"/>
        <w:gridCol w:w="8067"/>
        <w:tblGridChange w:id="0">
          <w:tblGrid>
            <w:gridCol w:w="1283"/>
            <w:gridCol w:w="8067"/>
          </w:tblGrid>
        </w:tblGridChange>
      </w:tblGrid>
      <w:tr>
        <w:trPr>
          <w:cantSplit w:val="1"/>
          <w:trHeight w:val="345" w:hRule="atLeast"/>
          <w:tblHeader w:val="0"/>
        </w:trPr>
        <w:tc>
          <w:tcPr>
            <w:gridSpan w:val="2"/>
            <w:tcMar>
              <w:top w:w="28.799999999999997" w:type="dxa"/>
              <w:left w:w="28.799999999999997" w:type="dxa"/>
              <w:bottom w:w="28.799999999999997" w:type="dxa"/>
              <w:right w:w="28.799999999999997" w:type="dxa"/>
            </w:tcMar>
            <w:shd w:val="clear" w:color="auto" w:fill="4CC51F"/>
          </w:tcPr>
          <w:p w:rsidR="00000000" w:rsidDel="00000000" w:rsidP="00000000" w:rsidRDefault="00000000" w:rsidRPr="00000000" w14:paraId="000001B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color w:val="FFFFFF"/>
              </w:rPr>
              <w:t xml:space="preserve">Penetration Test Scope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Authentication Verification Requirements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Password Security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user-set passwords are at least 12 characters in length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64 characters or longer are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can contain spaces and that truncation is not performed. Consecutive multiple spaces MAY optionally be coalesced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Unicode characters are permitted in passwords. A single Unicode code point is considered a character, so 12 emoji or 64 kanji characters should be valid and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users can change their password</w:t>
            </w:r>
          </w:p>
        </w:tc>
      </w:tr>
      <w:tr>
        <w:trPr>
          <w:cantSplit w:val="1"/>
          <w:trHeight w:val="1605" w:hRule="atLeast"/>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submitted during account registration, login, and password change are checked against a set of breached passwords either locally (such as the top 1,000 or 10,000 most common passwords that match the system's password policy) or using an external API. If using an API a zero-knowledge proof or other mechanism should be used to ensure that the plain text password is not sent or used in verifying the breach status of the password. If the password is breached, the application must require the user to set a new non non-breached password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1.1.8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password strength meter is provided to help users set a stronger password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1.1.9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there are no password composition rules limiting the type of characters permitted. There should be no requirement for upper or lower case or numbers or special characters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"paste" functionality, browser password helpers, and external password managers are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user can choose to either temporarily view the entire masked password, or temporarily view the last typed character of the password on platforms that do not have this as native functionality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General Authenticator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anti-automation controls are effective at mitigating breached credential testing, brute force, and account lockout attacks. Such controls include blocking the most common breached passwords, soft lockouts, rate limiting, CAPTCHA, ever-increasing delays between attempts, IP address restrictions, or risk-based restrictions such as location, first login on a device, recent attempts to unlock the account, or similar. Verify that no more than 100 failed attempts per hour is possible on a single account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use of weak authenticators (such as SMS and email) is limited to secondary verification and transaction approval and not as a replacement for more secure authentication methods. Verify that stronger methods are offered before weak methods, that users are aware of the risks, or that proper measures are in place to limit the risks of account compromise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secure notifications are sent to users after updates to authentication details, such as credential resets, email or address changes, and logging in from unknown or risky locations. The use of push notifications - rather than SMS or email - is preferred, but in the absence of push notifications, SMS or email is acceptable as long as no sensitive information is disclosed in the notification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impersonation resistance against phishing, such as the use of multi-factor authentication, cryptographic devices with intent (such as connected keys with a push to authenticate), or at higher ALL levels, client-side certificates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where a credential service provider (CSP) and the application verifying authentication are separated, mutually authenticated TLS is in place between the two endpoints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Credential Recovery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system-generated initial activation or recovery secret is not sent in clear text to the user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password hints or knowledge-based authentication (so-called "secret questions") are not present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password credential recovery does not reveal the current password in any way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shared or default accounts are not present (e.g. "root", "admin", or "sa").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an authentication factor is changed or replaced, the user is notified of this event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forgotten passwords, and other recovery paths using a secure recovery mechanism, such as TOTP or another soft token, mobile push, or another offline recovery mechanism</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OTP or multi-factor authentication factors are lost, that evidence of identity proofing is performed at the same level as during enrolment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Single or Multi-Factor One Time Verifier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time-based OTPs have a defined lifetime before expiring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symmetric keys used to verify submitted OTPs are highly protected, such as by using a hardware security module or secure operating system-based key storage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time-based OTP can be used only once within the validity period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 time-based multi-factor OTP token is re-used during the validity period, it is logged and rejected with secure notifications being sent to the holder of the device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Session Management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Fundamental Session Management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never reveals session tokens in URL parameters or error messages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generates a new session token on user authentication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session tokens possess at least 64 bits of entropy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only stores session tokens in the browser using secure methods such as appropriately secured cookies or HTML 5 session storage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Session Logout and Timeout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logout and expiration invalidate the session token, such that the back button or a downstream relying party does not resume an authenticated session, including across relying parties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If authenticators permit users to remain logged in, verify that re-authentication occurs periodically both when actively used or after an idle period. (C6) 30 days 12 hours or 30 minutes of inactivity, 2FA optional 12 hours or 15 minutes of inactivity, with 2FA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terminates all other active sessions after a successful password change and that this is effective across the application, federated login (if present), and any relying parties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users are able to view and log out of any or all currently active sessions and devices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Cookie-based Session Management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have the 'Secure' attribute 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have the 'HttpOnly' attribute 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utilize the 'SameSite' attribute to limit exposure to cross-site request forgery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use "__Host-" prefix (see references) to provide session cookie confidentiality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the application is published under a domain name with other applications that set or use session cookies that might override or disclose the session cookies, set the path attribute in cookie-based session tokens using the most precise path possible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Token-based Session Management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uses session tokens rather than static API secrets and keys, except with legacy implementations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stateless session tokens use digital signatures, encryption, and other countermeasures to protect against tampering, enveloping, replay, null cipher, and key substitution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Access Control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V3.1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Operation Level Access Control</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3.1.2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or framework enforces a strong anti-CSRF mechanism to protect authenticated functionality, and effective anti-automation or anti-CSRF protects unauthenticated functionality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Validation, Sanitization, and Encoding Verification Requirements Control Objective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Input Validation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has defenses against HTTP parameter pollution attacks, particularly if the application framework makes no distinction about the source of request parameters (GET, POST, cookies, headers, or environment variables)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frameworks protect against mass parameter assignment attacks, or that the application has countermeasures to protect against unsafe parameter assignment, such as marking fields private or similar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input (HTML form fields, REST requests, URL parameters, HTTP headers, cookies, batch files, RSS feeds, etc) is validated using positive validation (whitelisting)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structured data is strongly typed and validated against a defined schema including allowed characters, length and pattern (e.g. credit card numbers or telephone, or validating that two related fields are reasonable, such as checking that suburb and zip/postcode match)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URL redirects and forwards only allow whitelisted destinations, or show a warning when redirecting to potentially untrusted content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untrusted HTML input from WYSIWYG editors or similar is properly sanitized with an HTML sanitizer library or framework feature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unstructured data is sanitized to enforce safety measures such as allowed characters and length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user input before passing to mail systems to protect against SMTP or IMAP injection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avoids the use of eval() or other dynamic code execution features. Where there is no alternative, any user input being included must be sanitized or sandboxed before being executed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template injection attacks by ensuring that any user input being included is sanitized or sandboxed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SSRF attacks, by validating or sanitizing untrusted data or HTTP file metadata, such as filenames and URL input fields, using whitelisting of protocols, domains, paths, and ports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4.1.12</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disables, or sandboxes user-supplied SVG scriptable content, especially as they relate to XSS resulting from inline scripts, and foreign Objects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disables, or sandboxes user-supplied scriptable or expression template language content, such as Markdown, CSS or XSL stylesheets, BBCode, or similar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Output encoding and Injection Prevention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0">
            <w:pPr>
              <w:tabs>
                <w:tab w:val="right" w:leader="none" w:pos="9360"/>
                <w:tab w:val="right" w:leader="none" w:pos="9360"/>
                <w:tab w:val="right" w:leader="none" w:pos="9360"/>
                <w:tab w:val="right" w:leader="none" w:pos="9360"/>
                <w:tab w:val="right" w:leader="none" w:pos="9360"/>
                <w:tab w:val="right" w:leader="none" w:pos="9360"/>
              </w:tabs>
              <w:ind w:firstLine="0"/>
              <w:rPr/>
            </w:pPr>
            <w:sdt>
              <w:sdtPr>
                <w:id w:val="-1004165965"/>
                <w:tag w:val="goog_rdk_2"/>
              </w:sdtPr>
              <w:sdtContent>
                <w:r w:rsidDel="00000000" w:rsidR="00000000" w:rsidRPr="00000000">
                  <w:rPr>
                    <w:rFonts w:ascii="Arial Unicode MS" w:cs="Arial Unicode MS" w:eastAsia="Arial Unicode MS" w:hAnsi="Arial Unicode MS"/>
                    <w:rtl w:val="0"/>
                  </w:rPr>
                  <w:t xml:space="preserve">Verify that output encoding is relevant for the interpreter and context required. For example, use encoders specifically for HTML values, HTML attributes, JavaScript, URL Parameters, HTTP headers, SMTP, and others as the context requires, especially from untrusted inputs (e.g. names with Unicode or apostrophes, such as ねこ or O'Hara). </w:t>
                </w:r>
              </w:sdtContent>
            </w:sdt>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output encoding preserves the user's chosen character set and locale, such that any Unicode character point is valid and safely handled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context-aware, preferably automated - or at worst, manual - output escaping protects against reflected, stored, and DOM-based XSS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data selection or database queries (e.g. SQL, HQL, ORM, NoSQL) use parameterized queries, ORMs, entity frameworks, or are otherwise protected from database injection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where parameterized or safer mechanisms are not present, context-specific output encoding is used to protect against injection attacks, such as the use of SQL escaping to protect against SQL injection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projects against JavaScript or JSON injection attacks, including for eval attacks, remote JavaScript includes, CSP bypasses, DOM XSS, and JavaScript expression evaluation.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LDAP Injection vulnerabilities, or that specific security controls to prevent LDAP Injection have been implemented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4.2.8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OS command injection and that operating system calls use parameterized OS queries or use contextual command line output encoding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4.2.9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Local File Inclusion (LFI) or Remote File Inclusion (RFI) attacks.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4.2.10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XPath injection or XML injection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Deserialization Prevention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serialized objects use integrity checks or are encrypted to prevent hostile object creation or data tampering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correctly restricts XML parsers to only use the most restrictive configuration possible and to ensure that unsafe features such as resolving external entities are disabled to prevent testE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deserialization of untrusted data is avoided or is protected in both custom code and third-party libraries (such as JSON, XML and YAML parsers)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when parsing JSON in browsers or JavaScript-based backends, JSON.parse is used to parse the JSON document. Do not use eval() to parse JSON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V5</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Error Handling and Logging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V5.1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Error Handling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5.1.1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generic message is shown when an unexpected or security sensitive error occurs, potentially with a unique ID which support personnel can use to investigate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Data Protection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V6.1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Sensitive Private Data</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6.1.1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sensitive data is sent to the server in the HTTP message body or headers, and that query string parameters from any HTTP verb do not contain sensitive data</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Communications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V7.1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Communications Security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secured TLS is used for all client connectivity, and does not fall back to insecure or unencrypted protocols.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using online or up-to-date TLS testing tools that only strong algorithms, ciphers, and protocols are enabled, with the strongest algorithms and ciphers set as preferred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old versions of SSL and TLS protocols, algorithms, ciphers, and configurations are disabled, such as SSLv2, SSLv3, or TLS 1.0 and TLS 1.1. The latest version of TLS should be the preferred cipher suite</w:t>
            </w:r>
          </w:p>
          <w:p w:rsidR="00000000" w:rsidDel="00000000" w:rsidP="00000000" w:rsidRDefault="00000000" w:rsidRPr="00000000" w14:paraId="0000027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7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Business Logic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will only process business logic flows for the same user in sequential step order and without skipping steps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will only process business logic flows with all steps being processed in realistic human time, i.e. transactions are not submitted too quickly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appropriate limits for specific business actions or transactions which are correctly enforced on a per-user basis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sufficient anti-automation controls to detect and protect against data exfiltration, excessive business logic requests, excessive file uploads, or denial of service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business logic limits or validation to protect against likely business risks or threats, identified using threat modeling or similar methodologies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Tested for IDOR’s vulnerabilities which would allow other users to retrieve any kind of sensitive information like api key, tokens etc.</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Verified Privilege Escalation vulnerabilities which could allow low privilege users to perform arbitrary operations leading potential account takeovers.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Verified Privilege Escalation vulnerabilities which could allow users to perform CRUD Operations on behalf of victim users.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Information Disclosure vulnerabilities via IDORs which could result in users PII Disclosure (PII).</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Broken Access Control issues via browsed forcing.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Mass Assignment vulnerability which could allow attackers to gain extra privileges.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and Resources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Upload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9.1.1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will not accept large files that could fill up storage or cause a denial of service attack</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Integrity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9.2.1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files obtained from untrusted sources are validated to be of expected type based on the file's content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API and Web Service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Generic Web Service Security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application components use the same encodings and parsers to avoid parsing attacks that exploit different URI or file parsing behavior that could be used in SSRF and RFI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access to administration and management functions is limited to authorized administrators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API URLs do not expose sensitive information, such as the API key, session tokens, etc</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authorization decisions are made at both the URI, enforced by programmatic or declarative security at the controller or router, and at the resource level, enforced by model-based permissions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requests containing unexpected or missing content types are rejected with appropriate headers (HTTP response status 406 Unacceptable or 415 Unsupported Media Type)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RESTful Web Service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Configuration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Dependency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components are up to date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unneeded features, documentation, samples, configurations are removed, such as sample applications, platform documentation, and default or example users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application assets, such as JavaScript libraries, CSS stylesheets or web fonts, are hosted externally on a content delivery network (CDN) or external provider, Subresource Integrity (SRI) is used to validate the integrity of the asset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Unintended Security Disclosure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web or application server and framework error messages are configured to deliver user-actionable, customized responses to eliminate any unintended security disclosures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web or application server and application framework debug modes are disabled in production to eliminate debug features, developer consoles, and unintended security disclosures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HTTP headers or any part of the HTTP response do not expose detailed version information of system components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HTTP Security Headers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every HTTP response contains a content type header specifying a safe character set (e.g., UTF-8, ISO 8859-1).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API responses contain Content-Disposition: attachment; filename="api.json" (or other appropriate filename for the content type).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content security policy (CSPv2) is in place that helps mitigate impact of XSS attacks like HTML, DOM, JSON, and JavaScript injection vulnerabilities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responses contain X-Content-Type-Options: nosniff</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HTTP Strict Transport Security headers are included on all responses and for all subdomains, such as Strict-Transport-Security: max-age=15724800; include subdomains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suitable "Referrer-Policy" header is included, such as "no-referrer" or "same-origin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suitable X-Frame-Options or Content-Security-Policy: frame ancestors header is in use for sites where content should not be embedded in a third-party site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V11.4</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Validate HTTP Request Header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server only accepts the HTTP methods in use by the application or API, including pre-flight OPTIONS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supplied Origin header is not used for authentication or access control decisions, as the Origin header can easily be changed by an attacker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cross-domain resource sharing (CORS) Access-Control-AllowOrigin header uses a strict white list of trusted domains to match against and does not support the "null" origin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HTTP headers added by a trusted proxy or SSO devices, such as a bearer token, are authenticated by the application</w:t>
            </w:r>
          </w:p>
        </w:tc>
      </w:tr>
    </w:tbl>
    <w:sectPr>
      <w:headerReference r:id="rId29" w:type="default"/>
      <w:headerReference r:id="rId30" w:type="first"/>
      <w:headerReference r:id="rId31" w:type="even"/>
      <w:footerReference r:id="rId32" w:type="default"/>
      <w:footerReference r:id="rId33" w:type="first"/>
      <w:footerReference r:id="rId34" w:type="even"/>
      <w:pgSz w:h="15840" w:w="12240" w:orient="portrait"/>
      <w:pgMar w:bottom="709" w:top="1440" w:left="1440" w:right="1440" w:header="0" w:footer="57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Verdana"/>
  <w:font w:name="Arial Unicode MS"/>
  <w:font w:name="Courier New"/>
  <w:font w:name="Roboto Black">
    <w:embedBold w:fontKey="{00000000-0000-0000-0000-000000000000}" r:id="rId1" w:subsetted="0"/>
    <w:embedBoldItalic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Roboto Medium">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D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-812799</wp:posOffset>
              </wp:positionH>
              <wp:positionV relativeFrom="paragraph">
                <wp:posOffset>241300</wp:posOffset>
              </wp:positionV>
              <wp:extent cx="5476938" cy="182999"/>
              <wp:effectExtent b="0" l="0" r="0" t="0"/>
              <wp:wrapNone/>
              <wp:docPr id="1823659469" name=""/>
              <a:graphic>
                <a:graphicData uri="http://schemas.microsoft.com/office/word/2010/wordprocessingGroup">
                  <wpg:wgp>
                    <wpg:cNvGrpSpPr/>
                    <wpg:grpSpPr>
                      <a:xfrm>
                        <a:off x="2607525" y="3688500"/>
                        <a:ext cx="5476938" cy="182999"/>
                        <a:chOff x="2607525" y="3688500"/>
                        <a:chExt cx="5476950" cy="183000"/>
                      </a:xfrm>
                    </wpg:grpSpPr>
                    <wpg:grpSp>
                      <wpg:cNvGrpSpPr/>
                      <wpg:grpSpPr>
                        <a:xfrm>
                          <a:off x="2607531" y="3688501"/>
                          <a:ext cx="5476938" cy="182999"/>
                          <a:chOff x="2607525" y="3688500"/>
                          <a:chExt cx="5476950" cy="183000"/>
                        </a:xfrm>
                      </wpg:grpSpPr>
                      <wps:wsp>
                        <wps:cNvSpPr/>
                        <wps:cNvPr id="3" name="Shape 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9" name="Shape 19"/>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1" name="Shape 21"/>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3" name="Shape 2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5" name="Shape 25"/>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flipH="1">
                                    <a:off x="2607530" y="3688501"/>
                                    <a:ext cx="5476939" cy="182999"/>
                                    <a:chOff x="0" y="0"/>
                                    <a:chExt cx="5476939" cy="182999"/>
                                  </a:xfrm>
                                </wpg:grpSpPr>
                                <wps:wsp>
                                  <wps:cNvSpPr/>
                                  <wps:cNvPr id="27" name="Shape 27"/>
                                  <wps:spPr>
                                    <a:xfrm>
                                      <a:off x="0" y="0"/>
                                      <a:ext cx="5476925" cy="18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rot="-5400000">
                                      <a:off x="-537" y="537"/>
                                      <a:ext cx="182880" cy="181805"/>
                                    </a:xfrm>
                                    <a:custGeom>
                                      <a:rect b="b" l="l" r="r" t="t"/>
                                      <a:pathLst>
                                        <a:path extrusionOk="0" h="296190" w="297942">
                                          <a:moveTo>
                                            <a:pt x="149819" y="0"/>
                                          </a:moveTo>
                                          <a:cubicBezTo>
                                            <a:pt x="191572" y="0"/>
                                            <a:pt x="226697" y="14249"/>
                                            <a:pt x="255195" y="42747"/>
                                          </a:cubicBezTo>
                                          <a:cubicBezTo>
                                            <a:pt x="283693" y="71245"/>
                                            <a:pt x="297942" y="106352"/>
                                            <a:pt x="297942" y="148068"/>
                                          </a:cubicBezTo>
                                          <a:cubicBezTo>
                                            <a:pt x="297942" y="189655"/>
                                            <a:pt x="283652" y="224739"/>
                                            <a:pt x="255072" y="253320"/>
                                          </a:cubicBezTo>
                                          <a:cubicBezTo>
                                            <a:pt x="226492" y="281900"/>
                                            <a:pt x="191408" y="296190"/>
                                            <a:pt x="149819" y="296190"/>
                                          </a:cubicBezTo>
                                          <a:cubicBezTo>
                                            <a:pt x="108323" y="296190"/>
                                            <a:pt x="72979" y="281918"/>
                                            <a:pt x="43788" y="253374"/>
                                          </a:cubicBezTo>
                                          <a:cubicBezTo>
                                            <a:pt x="14596" y="224831"/>
                                            <a:pt x="0" y="189728"/>
                                            <a:pt x="0" y="148068"/>
                                          </a:cubicBezTo>
                                          <a:cubicBezTo>
                                            <a:pt x="0" y="106279"/>
                                            <a:pt x="14554" y="71154"/>
                                            <a:pt x="43664" y="42693"/>
                                          </a:cubicBezTo>
                                          <a:cubicBezTo>
                                            <a:pt x="72774" y="14231"/>
                                            <a:pt x="108159" y="0"/>
                                            <a:pt x="149819" y="0"/>
                                          </a:cubicBezTo>
                                          <a:close/>
                                        </a:path>
                                      </a:pathLst>
                                    </a:custGeom>
                                    <a:gradFill>
                                      <a:gsLst>
                                        <a:gs pos="0">
                                          <a:srgbClr val="58EE21"/>
                                        </a:gs>
                                        <a:gs pos="81000">
                                          <a:srgbClr val="3A8C19"/>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rot="5400000">
                                      <a:off x="2779877" y="-2514063"/>
                                      <a:ext cx="182880" cy="5211243"/>
                                    </a:xfrm>
                                    <a:custGeom>
                                      <a:rect b="b" l="l" r="r" t="t"/>
                                      <a:pathLst>
                                        <a:path extrusionOk="0" h="5211243" w="226088">
                                          <a:moveTo>
                                            <a:pt x="3" y="5111179"/>
                                          </a:moveTo>
                                          <a:lnTo>
                                            <a:pt x="3" y="4989325"/>
                                          </a:lnTo>
                                          <a:lnTo>
                                            <a:pt x="226088" y="4989325"/>
                                          </a:lnTo>
                                          <a:lnTo>
                                            <a:pt x="226088" y="5111179"/>
                                          </a:lnTo>
                                          <a:cubicBezTo>
                                            <a:pt x="226088" y="5177889"/>
                                            <a:pt x="188690" y="5211243"/>
                                            <a:pt x="113894" y="5211243"/>
                                          </a:cubicBezTo>
                                          <a:cubicBezTo>
                                            <a:pt x="37967" y="5211243"/>
                                            <a:pt x="3" y="5177889"/>
                                            <a:pt x="3" y="5111179"/>
                                          </a:cubicBezTo>
                                          <a:close/>
                                          <a:moveTo>
                                            <a:pt x="1" y="298450"/>
                                          </a:moveTo>
                                          <a:lnTo>
                                            <a:pt x="1" y="98310"/>
                                          </a:lnTo>
                                          <a:cubicBezTo>
                                            <a:pt x="1" y="32770"/>
                                            <a:pt x="37965" y="0"/>
                                            <a:pt x="113893" y="0"/>
                                          </a:cubicBezTo>
                                          <a:cubicBezTo>
                                            <a:pt x="188689" y="0"/>
                                            <a:pt x="226087" y="32770"/>
                                            <a:pt x="226087" y="98310"/>
                                          </a:cubicBezTo>
                                          <a:lnTo>
                                            <a:pt x="226087" y="298450"/>
                                          </a:lnTo>
                                          <a:close/>
                                          <a:moveTo>
                                            <a:pt x="0" y="4989324"/>
                                          </a:moveTo>
                                          <a:lnTo>
                                            <a:pt x="0" y="298452"/>
                                          </a:lnTo>
                                          <a:lnTo>
                                            <a:pt x="226087" y="298452"/>
                                          </a:lnTo>
                                          <a:lnTo>
                                            <a:pt x="226085" y="4989324"/>
                                          </a:lnTo>
                                          <a:close/>
                                        </a:path>
                                      </a:pathLst>
                                    </a:custGeom>
                                    <a:gradFill>
                                      <a:gsLst>
                                        <a:gs pos="0">
                                          <a:srgbClr val="58EE21"/>
                                        </a:gs>
                                        <a:gs pos="65000">
                                          <a:schemeClr val="accent1"/>
                                        </a:gs>
                                        <a:gs pos="83000">
                                          <a:schemeClr val="accent1"/>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-812799</wp:posOffset>
              </wp:positionH>
              <wp:positionV relativeFrom="paragraph">
                <wp:posOffset>241300</wp:posOffset>
              </wp:positionV>
              <wp:extent cx="5476938" cy="182999"/>
              <wp:effectExtent b="0" l="0" r="0" t="0"/>
              <wp:wrapNone/>
              <wp:docPr id="1823659469"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5476938" cy="182999"/>
                      </a:xfrm>
                      <a:prstGeom prst="rect"/>
                      <a:ln/>
                    </pic:spPr>
                  </pic:pic>
                </a:graphicData>
              </a:graphic>
            </wp:anchor>
          </w:drawing>
        </mc:Fallback>
      </mc:AlternateContent>
    </w:r>
  </w:p>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2160" w:right="0"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D5">
    <w:pPr>
      <w:tabs>
        <w:tab w:val="right" w:leader="none" w:pos="9360"/>
        <w:tab w:val="right" w:leader="none" w:pos="9360"/>
        <w:tab w:val="right" w:leader="none" w:pos="9360"/>
        <w:tab w:val="right" w:leader="none" w:pos="9360"/>
        <w:tab w:val="right" w:leader="none" w:pos="9360"/>
        <w:tab w:val="right" w:leader="none" w:pos="9360"/>
      </w:tabs>
      <w:ind w:firstLine="0"/>
      <w:rPr>
        <w:rFonts w:ascii="Calibri" w:cs="Calibri" w:eastAsia="Calibri" w:hAnsi="Calibri"/>
        <w:b w:val="1"/>
        <w:bCs w:val="1"/>
      </w:rPr>
    </w:pPr>
    <w:r w:rsidDel="00000000" w:rsidR="00000000" w:rsidRPr="00000000">
      <w:rPr>
        <w:rFonts w:ascii="Calibri" w:cs="Calibri" w:eastAsia="Calibri" w:hAnsi="Calibri"/>
        <w:b w:val="1"/>
        <w:bCs w:val="1"/>
      </w:rPr>
      <w:drawing>
        <wp:anchor allowOverlap="1" behindDoc="0" distB="0" distT="0" distL="114300" distR="114300" hidden="0" layoutInCell="1" locked="0" relativeHeight="0" simplePos="0">
          <wp:simplePos x="0" y="0"/>
          <wp:positionH relativeFrom="margin">
            <wp:posOffset>-528314</wp:posOffset>
          </wp:positionH>
          <wp:positionV relativeFrom="page">
            <wp:posOffset>365718</wp:posOffset>
          </wp:positionV>
          <wp:extent cx="1741805" cy="368935"/>
          <wp:effectExtent b="0" l="0" r="0" t="0"/>
          <wp:wrapNone/>
          <wp:docPr id="182365947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741805" cy="368935"/>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1308100</wp:posOffset>
              </wp:positionH>
              <wp:positionV relativeFrom="paragraph">
                <wp:posOffset>177800</wp:posOffset>
              </wp:positionV>
              <wp:extent cx="5476938" cy="182999"/>
              <wp:effectExtent b="0" l="0" r="0" t="0"/>
              <wp:wrapNone/>
              <wp:docPr id="1823659467" name=""/>
              <a:graphic>
                <a:graphicData uri="http://schemas.microsoft.com/office/word/2010/wordprocessingGroup">
                  <wpg:wgp>
                    <wpg:cNvGrpSpPr/>
                    <wpg:grpSpPr>
                      <a:xfrm>
                        <a:off x="2607525" y="3688500"/>
                        <a:ext cx="5476938" cy="182999"/>
                        <a:chOff x="2607525" y="3688500"/>
                        <a:chExt cx="5476950" cy="183000"/>
                      </a:xfrm>
                    </wpg:grpSpPr>
                    <wpg:grpSp>
                      <wpg:cNvGrpSpPr/>
                      <wpg:grpSpPr>
                        <a:xfrm>
                          <a:off x="2607531" y="3688501"/>
                          <a:ext cx="5476938" cy="182999"/>
                          <a:chOff x="2607525" y="3688500"/>
                          <a:chExt cx="5476950" cy="183000"/>
                        </a:xfrm>
                      </wpg:grpSpPr>
                      <wps:wsp>
                        <wps:cNvSpPr/>
                        <wps:cNvPr id="3" name="Shape 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5" name="Shape 5"/>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7" name="Shape 7"/>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9" name="Shape 9"/>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1" name="Shape 11"/>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9" cy="182999"/>
                                    <a:chOff x="0" y="0"/>
                                    <a:chExt cx="5476939" cy="182999"/>
                                  </a:xfrm>
                                </wpg:grpSpPr>
                                <wps:wsp>
                                  <wps:cNvSpPr/>
                                  <wps:cNvPr id="13" name="Shape 13"/>
                                  <wps:spPr>
                                    <a:xfrm>
                                      <a:off x="0" y="0"/>
                                      <a:ext cx="5476925" cy="18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rot="-5400000">
                                      <a:off x="-537" y="537"/>
                                      <a:ext cx="182880" cy="181805"/>
                                    </a:xfrm>
                                    <a:custGeom>
                                      <a:rect b="b" l="l" r="r" t="t"/>
                                      <a:pathLst>
                                        <a:path extrusionOk="0" h="296190" w="297942">
                                          <a:moveTo>
                                            <a:pt x="149819" y="0"/>
                                          </a:moveTo>
                                          <a:cubicBezTo>
                                            <a:pt x="191572" y="0"/>
                                            <a:pt x="226697" y="14249"/>
                                            <a:pt x="255195" y="42747"/>
                                          </a:cubicBezTo>
                                          <a:cubicBezTo>
                                            <a:pt x="283693" y="71245"/>
                                            <a:pt x="297942" y="106352"/>
                                            <a:pt x="297942" y="148068"/>
                                          </a:cubicBezTo>
                                          <a:cubicBezTo>
                                            <a:pt x="297942" y="189655"/>
                                            <a:pt x="283652" y="224739"/>
                                            <a:pt x="255072" y="253320"/>
                                          </a:cubicBezTo>
                                          <a:cubicBezTo>
                                            <a:pt x="226492" y="281900"/>
                                            <a:pt x="191408" y="296190"/>
                                            <a:pt x="149819" y="296190"/>
                                          </a:cubicBezTo>
                                          <a:cubicBezTo>
                                            <a:pt x="108323" y="296190"/>
                                            <a:pt x="72979" y="281918"/>
                                            <a:pt x="43788" y="253374"/>
                                          </a:cubicBezTo>
                                          <a:cubicBezTo>
                                            <a:pt x="14596" y="224831"/>
                                            <a:pt x="0" y="189728"/>
                                            <a:pt x="0" y="148068"/>
                                          </a:cubicBezTo>
                                          <a:cubicBezTo>
                                            <a:pt x="0" y="106279"/>
                                            <a:pt x="14554" y="71154"/>
                                            <a:pt x="43664" y="42693"/>
                                          </a:cubicBezTo>
                                          <a:cubicBezTo>
                                            <a:pt x="72774" y="14231"/>
                                            <a:pt x="108159" y="0"/>
                                            <a:pt x="149819" y="0"/>
                                          </a:cubicBezTo>
                                          <a:close/>
                                        </a:path>
                                      </a:pathLst>
                                    </a:custGeom>
                                    <a:gradFill>
                                      <a:gsLst>
                                        <a:gs pos="0">
                                          <a:srgbClr val="58EE21"/>
                                        </a:gs>
                                        <a:gs pos="81000">
                                          <a:srgbClr val="3A8C19"/>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rot="5400000">
                                      <a:off x="2779877" y="-2514063"/>
                                      <a:ext cx="182880" cy="5211243"/>
                                    </a:xfrm>
                                    <a:custGeom>
                                      <a:rect b="b" l="l" r="r" t="t"/>
                                      <a:pathLst>
                                        <a:path extrusionOk="0" h="5211243" w="226088">
                                          <a:moveTo>
                                            <a:pt x="3" y="5111179"/>
                                          </a:moveTo>
                                          <a:lnTo>
                                            <a:pt x="3" y="4989325"/>
                                          </a:lnTo>
                                          <a:lnTo>
                                            <a:pt x="226088" y="4989325"/>
                                          </a:lnTo>
                                          <a:lnTo>
                                            <a:pt x="226088" y="5111179"/>
                                          </a:lnTo>
                                          <a:cubicBezTo>
                                            <a:pt x="226088" y="5177889"/>
                                            <a:pt x="188690" y="5211243"/>
                                            <a:pt x="113894" y="5211243"/>
                                          </a:cubicBezTo>
                                          <a:cubicBezTo>
                                            <a:pt x="37967" y="5211243"/>
                                            <a:pt x="3" y="5177889"/>
                                            <a:pt x="3" y="5111179"/>
                                          </a:cubicBezTo>
                                          <a:close/>
                                          <a:moveTo>
                                            <a:pt x="1" y="298450"/>
                                          </a:moveTo>
                                          <a:lnTo>
                                            <a:pt x="1" y="98310"/>
                                          </a:lnTo>
                                          <a:cubicBezTo>
                                            <a:pt x="1" y="32770"/>
                                            <a:pt x="37965" y="0"/>
                                            <a:pt x="113893" y="0"/>
                                          </a:cubicBezTo>
                                          <a:cubicBezTo>
                                            <a:pt x="188689" y="0"/>
                                            <a:pt x="226087" y="32770"/>
                                            <a:pt x="226087" y="98310"/>
                                          </a:cubicBezTo>
                                          <a:lnTo>
                                            <a:pt x="226087" y="298450"/>
                                          </a:lnTo>
                                          <a:close/>
                                          <a:moveTo>
                                            <a:pt x="0" y="4989324"/>
                                          </a:moveTo>
                                          <a:lnTo>
                                            <a:pt x="0" y="298452"/>
                                          </a:lnTo>
                                          <a:lnTo>
                                            <a:pt x="226087" y="298452"/>
                                          </a:lnTo>
                                          <a:lnTo>
                                            <a:pt x="226085" y="4989324"/>
                                          </a:lnTo>
                                          <a:close/>
                                        </a:path>
                                      </a:pathLst>
                                    </a:custGeom>
                                    <a:gradFill>
                                      <a:gsLst>
                                        <a:gs pos="0">
                                          <a:srgbClr val="58EE21"/>
                                        </a:gs>
                                        <a:gs pos="65000">
                                          <a:schemeClr val="accent1"/>
                                        </a:gs>
                                        <a:gs pos="83000">
                                          <a:schemeClr val="accent1"/>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1308100</wp:posOffset>
              </wp:positionH>
              <wp:positionV relativeFrom="paragraph">
                <wp:posOffset>177800</wp:posOffset>
              </wp:positionV>
              <wp:extent cx="5476938" cy="182999"/>
              <wp:effectExtent b="0" l="0" r="0" t="0"/>
              <wp:wrapNone/>
              <wp:docPr id="1823659467" name="image12.png"/>
              <a:graphic>
                <a:graphicData uri="http://schemas.openxmlformats.org/drawingml/2006/picture">
                  <pic:pic>
                    <pic:nvPicPr>
                      <pic:cNvPr id="0" name="image12.png"/>
                      <pic:cNvPicPr preferRelativeResize="0"/>
                    </pic:nvPicPr>
                    <pic:blipFill>
                      <a:blip r:embed="rId2"/>
                      <a:srcRect/>
                      <a:stretch>
                        <a:fillRect/>
                      </a:stretch>
                    </pic:blipFill>
                    <pic:spPr>
                      <a:xfrm>
                        <a:off x="0" y="0"/>
                        <a:ext cx="5476938" cy="182999"/>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Pr>
      <w:drawing>
        <wp:anchor allowOverlap="1" behindDoc="0" distB="114300" distT="114300" distL="114300" distR="114300" hidden="0" layoutInCell="1" locked="0" relativeHeight="0" simplePos="0">
          <wp:simplePos x="0" y="0"/>
          <wp:positionH relativeFrom="page">
            <wp:posOffset>0</wp:posOffset>
          </wp:positionH>
          <wp:positionV relativeFrom="page">
            <wp:posOffset>19050</wp:posOffset>
          </wp:positionV>
          <wp:extent cx="7777163" cy="6287507"/>
          <wp:effectExtent b="0" l="0" r="0" t="0"/>
          <wp:wrapNone/>
          <wp:docPr id="1823659470"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7777163" cy="6287507"/>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Pr>
      <w:pict>
        <v:shape id="PowerPlusWaterMarkObject1" style="position:absolute;width:492.08157480314964pt;height:169.77031496062992pt;rotation:315;z-index:-503316481;mso-position-horizontal-relative:margin;mso-position-horizontal:center;mso-position-vertical-relative:margin;mso-position-vertical:center;" fillcolor="#e8eaed" stroked="f" type="#_x0000_t136">
          <v:fill angle="0" opacity="65536f"/>
          <v:textpath fitshape="t" string="DRAFT"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900" w:hanging="360"/>
      </w:pPr>
      <w:rPr>
        <w:rFonts w:ascii="Noto Sans Symbols" w:cs="Noto Sans Symbols" w:eastAsia="Noto Sans Symbols" w:hAnsi="Noto Sans Symbols"/>
        <w:color w:val="4ebc22"/>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0" w:hanging="360"/>
      </w:pPr>
      <w:rPr>
        <w:rFonts w:ascii="Noto Sans Symbols" w:cs="Noto Sans Symbols" w:eastAsia="Noto Sans Symbols" w:hAnsi="Noto Sans Symbols"/>
        <w:color w:val="4ebc22"/>
      </w:rPr>
    </w:lvl>
    <w:lvl w:ilvl="1">
      <w:start w:val="1"/>
      <w:numFmt w:val="bullet"/>
      <w:lvlText w:val="o"/>
      <w:lvlJc w:val="left"/>
      <w:pPr>
        <w:ind w:left="720" w:hanging="360"/>
      </w:pPr>
      <w:rPr>
        <w:rFonts w:ascii="Courier New" w:cs="Courier New" w:eastAsia="Courier New" w:hAnsi="Courier New"/>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2160" w:hanging="360"/>
      </w:pPr>
      <w:rPr>
        <w:rFonts w:ascii="Noto Sans Symbols" w:cs="Noto Sans Symbols" w:eastAsia="Noto Sans Symbols" w:hAnsi="Noto Sans Symbols"/>
      </w:rPr>
    </w:lvl>
    <w:lvl w:ilvl="4">
      <w:start w:val="1"/>
      <w:numFmt w:val="bullet"/>
      <w:lvlText w:val="o"/>
      <w:lvlJc w:val="left"/>
      <w:pPr>
        <w:ind w:left="2880" w:hanging="360"/>
      </w:pPr>
      <w:rPr>
        <w:rFonts w:ascii="Courier New" w:cs="Courier New" w:eastAsia="Courier New" w:hAnsi="Courier New"/>
      </w:rPr>
    </w:lvl>
    <w:lvl w:ilvl="5">
      <w:start w:val="1"/>
      <w:numFmt w:val="bullet"/>
      <w:lvlText w:val="▪"/>
      <w:lvlJc w:val="left"/>
      <w:pPr>
        <w:ind w:left="3600" w:hanging="360"/>
      </w:pPr>
      <w:rPr>
        <w:rFonts w:ascii="Noto Sans Symbols" w:cs="Noto Sans Symbols" w:eastAsia="Noto Sans Symbols" w:hAnsi="Noto Sans Symbols"/>
      </w:rPr>
    </w:lvl>
    <w:lvl w:ilvl="6">
      <w:start w:val="1"/>
      <w:numFmt w:val="bullet"/>
      <w:lvlText w:val="●"/>
      <w:lvlJc w:val="left"/>
      <w:pPr>
        <w:ind w:left="4320" w:hanging="360"/>
      </w:pPr>
      <w:rPr>
        <w:rFonts w:ascii="Noto Sans Symbols" w:cs="Noto Sans Symbols" w:eastAsia="Noto Sans Symbols" w:hAnsi="Noto Sans Symbols"/>
      </w:rPr>
    </w:lvl>
    <w:lvl w:ilvl="7">
      <w:start w:val="1"/>
      <w:numFmt w:val="bullet"/>
      <w:lvlText w:val="o"/>
      <w:lvlJc w:val="left"/>
      <w:pPr>
        <w:ind w:left="5040" w:hanging="360"/>
      </w:pPr>
      <w:rPr>
        <w:rFonts w:ascii="Courier New" w:cs="Courier New" w:eastAsia="Courier New" w:hAnsi="Courier New"/>
      </w:rPr>
    </w:lvl>
    <w:lvl w:ilvl="8">
      <w:start w:val="1"/>
      <w:numFmt w:val="bullet"/>
      <w:lvlText w:val="▪"/>
      <w:lvlJc w:val="left"/>
      <w:pPr>
        <w:ind w:left="576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US"/>
      </w:rPr>
    </w:rPrDefault>
    <w:pPrDefault>
      <w:pPr>
        <w:widowControl w:val="0"/>
        <w:tabs>
          <w:tab w:val="right" w:leader="none" w:pos="9360"/>
        </w:tabs>
        <w:spacing w:before="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w:cs="Roboto" w:eastAsia="Roboto" w:hAnsi="Roboto"/>
      <w:b w:val="0"/>
      <w:bCs w:val="0"/>
      <w:i w:val="0"/>
      <w:iCs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bCs w:val="1"/>
      <w:i w:val="0"/>
      <w:iCs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Roboto" w:cs="Roboto" w:eastAsia="Roboto" w:hAnsi="Roboto"/>
      <w:b w:val="1"/>
      <w:bCs w:val="1"/>
      <w:i w:val="0"/>
      <w:iCs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bCs w:val="1"/>
      <w:i w:val="0"/>
      <w:iCs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bCs w:val="0"/>
      <w:i w:val="0"/>
      <w:iCs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left"/>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360" w:right="0" w:hanging="360"/>
      <w:jc w:val="left"/>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left"/>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360" w:right="0" w:hanging="36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360" w:right="0" w:hanging="360"/>
      <w:jc w:val="left"/>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qFormat w:val="1"/>
    <w:rsid w:val="00E045FA"/>
    <w:pPr>
      <w:suppressAutoHyphens w:val="1"/>
      <w:autoSpaceDN w:val="0"/>
      <w:spacing w:line="276" w:lineRule="auto"/>
      <w:ind w:left="0"/>
      <w:jc w:val="both"/>
      <w:textAlignment w:val="baseline"/>
    </w:pPr>
    <w:rPr>
      <w:rFonts w:asciiTheme="minorHAnsi" w:cstheme="minorHAnsi" w:hAnsiTheme="minorHAnsi"/>
    </w:rPr>
  </w:style>
  <w:style w:type="paragraph" w:styleId="Heading1">
    <w:name w:val="heading 1"/>
    <w:basedOn w:val="Standard"/>
    <w:next w:val="Standard"/>
    <w:autoRedefine w:val="1"/>
    <w:uiPriority w:val="9"/>
    <w:qFormat w:val="1"/>
    <w:rsid w:val="0057257B"/>
    <w:pPr>
      <w:keepNext w:val="1"/>
      <w:keepLines w:val="1"/>
      <w:pBdr>
        <w:bottom w:color="4ebc22" w:space="1" w:sz="18" w:themeColor="accent1" w:val="single"/>
      </w:pBdr>
      <w:spacing w:after="240" w:before="240" w:line="276" w:lineRule="auto"/>
      <w:ind w:left="0"/>
      <w:outlineLvl w:val="0"/>
    </w:pPr>
    <w:rPr>
      <w:rFonts w:asciiTheme="majorHAnsi" w:hAnsiTheme="majorHAnsi"/>
      <w:bCs w:val="1"/>
      <w:color w:val="4ebc22" w:themeColor="accent1"/>
      <w:sz w:val="40"/>
      <w:szCs w:val="48"/>
    </w:rPr>
  </w:style>
  <w:style w:type="paragraph" w:styleId="Heading2">
    <w:name w:val="heading 2"/>
    <w:basedOn w:val="Standard"/>
    <w:autoRedefine w:val="1"/>
    <w:uiPriority w:val="9"/>
    <w:unhideWhenUsed w:val="1"/>
    <w:qFormat w:val="1"/>
    <w:rsid w:val="00F974EE"/>
    <w:pPr>
      <w:spacing w:after="280" w:before="280" w:line="240" w:lineRule="auto"/>
      <w:outlineLvl w:val="1"/>
    </w:pPr>
    <w:rPr>
      <w:rFonts w:cs="Times New Roman" w:eastAsia="Times New Roman" w:asciiTheme="minorHAnsi" w:hAnsiTheme="minorHAnsi"/>
      <w:b w:val="1"/>
      <w:bCs w:val="1"/>
      <w:color w:val="4ebc22" w:themeColor="accent1"/>
      <w:sz w:val="28"/>
      <w:szCs w:val="36"/>
    </w:rPr>
  </w:style>
  <w:style w:type="paragraph" w:styleId="Heading3">
    <w:name w:val="heading 3"/>
    <w:basedOn w:val="Standard"/>
    <w:next w:val="Standard"/>
    <w:uiPriority w:val="9"/>
    <w:unhideWhenUsed w:val="1"/>
    <w:qFormat w:val="1"/>
    <w:rsid w:val="00CB4AE8"/>
    <w:pPr>
      <w:keepNext w:val="1"/>
      <w:keepLines w:val="1"/>
      <w:spacing w:after="0" w:before="40"/>
      <w:ind w:left="720"/>
      <w:outlineLvl w:val="2"/>
    </w:pPr>
    <w:rPr>
      <w:rFonts w:ascii="Calibri Light" w:hAnsi="Calibri Light"/>
      <w:b w:val="1"/>
      <w:color w:val="4ebc22" w:themeColor="accent1"/>
      <w:sz w:val="24"/>
      <w:szCs w:val="24"/>
    </w:rPr>
  </w:style>
  <w:style w:type="paragraph" w:styleId="Heading4">
    <w:name w:val="heading 4"/>
    <w:basedOn w:val="Standard"/>
    <w:uiPriority w:val="9"/>
    <w:unhideWhenUsed w:val="1"/>
    <w:qFormat w:val="1"/>
    <w:rsid w:val="0016447C"/>
    <w:pPr>
      <w:spacing w:after="280" w:before="280" w:line="240" w:lineRule="auto"/>
      <w:outlineLvl w:val="3"/>
    </w:pPr>
    <w:rPr>
      <w:rFonts w:cs="Times New Roman" w:eastAsia="Times New Roman"/>
      <w:b w:val="1"/>
      <w:bCs w:val="1"/>
      <w:szCs w:val="24"/>
    </w:rPr>
  </w:style>
  <w:style w:type="paragraph" w:styleId="Heading5">
    <w:name w:val="heading 5"/>
    <w:basedOn w:val="Standard"/>
    <w:next w:val="Standard"/>
    <w:uiPriority w:val="9"/>
    <w:unhideWhenUsed w:val="1"/>
    <w:qFormat w:val="1"/>
    <w:rsid w:val="00CB4AE8"/>
    <w:pPr>
      <w:keepNext w:val="1"/>
      <w:keepLines w:val="1"/>
      <w:spacing w:after="0" w:before="40" w:line="240" w:lineRule="auto"/>
      <w:outlineLvl w:val="4"/>
    </w:pPr>
    <w:rPr>
      <w:rFonts w:ascii="Calibri Light" w:hAnsi="Calibri Light"/>
      <w:color w:val="4ebc22" w:themeColor="accent1"/>
    </w:rPr>
  </w:style>
  <w:style w:type="paragraph" w:styleId="Heading6">
    <w:name w:val="heading 6"/>
    <w:basedOn w:val="Normal"/>
    <w:next w:val="Normal"/>
    <w:uiPriority w:val="9"/>
    <w:semiHidden w:val="1"/>
    <w:unhideWhenUsed w:val="1"/>
    <w:qFormat w:val="1"/>
    <w:pPr>
      <w:keepNext w:val="1"/>
      <w:keepLines w:val="1"/>
      <w:spacing w:after="40" w:before="200"/>
      <w:outlineLvl w:val="5"/>
    </w:pPr>
    <w:rPr>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sz w:val="72"/>
      <w:szCs w:val="72"/>
    </w:rPr>
  </w:style>
  <w:style w:type="paragraph" w:styleId="Standard" w:customStyle="1">
    <w:name w:val="Standard"/>
    <w:pPr>
      <w:suppressAutoHyphens w:val="1"/>
      <w:autoSpaceDN w:val="0"/>
      <w:spacing w:after="160" w:line="259" w:lineRule="auto"/>
      <w:textAlignment w:val="baseline"/>
    </w:pPr>
  </w:style>
  <w:style w:type="paragraph" w:styleId="Heading" w:customStyle="1">
    <w:name w:val="Heading"/>
    <w:basedOn w:val="Standard"/>
    <w:next w:val="Textbody"/>
    <w:pPr>
      <w:keepNext w:val="1"/>
      <w:spacing w:after="120" w:before="240"/>
    </w:pPr>
    <w:rPr>
      <w:rFonts w:ascii="Liberation Sans" w:cs="Lucida Sans" w:eastAsia="Microsoft YaHei" w:hAnsi="Liberation Sans"/>
      <w:sz w:val="28"/>
      <w:szCs w:val="28"/>
    </w:rPr>
  </w:style>
  <w:style w:type="paragraph" w:styleId="Textbody" w:customStyle="1">
    <w:name w:val="Text body"/>
    <w:basedOn w:val="Standard"/>
    <w:pPr>
      <w:spacing w:after="140" w:line="276" w:lineRule="auto"/>
    </w:pPr>
  </w:style>
  <w:style w:type="paragraph" w:styleId="List">
    <w:name w:val="List"/>
    <w:basedOn w:val="Textbody"/>
    <w:rPr>
      <w:rFonts w:cs="Lucida Sans"/>
    </w:rPr>
  </w:style>
  <w:style w:type="paragraph" w:styleId="Caption">
    <w:name w:val="caption"/>
    <w:basedOn w:val="Standard"/>
    <w:next w:val="Standard"/>
    <w:pPr>
      <w:spacing w:after="200" w:line="240" w:lineRule="auto"/>
    </w:pPr>
    <w:rPr>
      <w:rFonts w:cs="Times New Roman" w:eastAsia="Times New Roman"/>
      <w:i w:val="1"/>
      <w:iCs w:val="1"/>
      <w:color w:val="44546a"/>
      <w:sz w:val="18"/>
      <w:szCs w:val="18"/>
    </w:rPr>
  </w:style>
  <w:style w:type="paragraph" w:styleId="Index" w:customStyle="1">
    <w:name w:val="Index"/>
    <w:basedOn w:val="Standard"/>
    <w:pPr>
      <w:suppressLineNumbers w:val="1"/>
    </w:pPr>
    <w:rPr>
      <w:rFonts w:cs="Lucida Sans"/>
    </w:rPr>
  </w:style>
  <w:style w:type="paragraph" w:styleId="NoSpacing">
    <w:name w:val="No Spacing"/>
    <w:pPr>
      <w:suppressAutoHyphens w:val="1"/>
      <w:autoSpaceDN w:val="0"/>
      <w:textAlignment w:val="baseline"/>
    </w:pPr>
    <w:rPr>
      <w:rFonts w:cs="Times New Roman" w:eastAsia="Times New Roman"/>
      <w:lang w:bidi="en-US"/>
    </w:rPr>
  </w:style>
  <w:style w:type="paragraph" w:styleId="ListParagraph">
    <w:name w:val="List Paragraph"/>
    <w:basedOn w:val="Standard"/>
    <w:qFormat w:val="1"/>
    <w:rsid w:val="00CB4AE8"/>
    <w:pPr>
      <w:numPr>
        <w:numId w:val="2"/>
      </w:numPr>
      <w:spacing w:after="0" w:line="276" w:lineRule="auto"/>
      <w:ind w:left="360"/>
    </w:pPr>
    <w:rPr>
      <w:rFonts w:eastAsia="Times New Roman" w:asciiTheme="minorHAnsi" w:cstheme="minorHAnsi" w:hAnsiTheme="minorHAnsi"/>
      <w:szCs w:val="24"/>
    </w:rPr>
  </w:style>
  <w:style w:type="paragraph" w:styleId="HeaderandFooter" w:customStyle="1">
    <w:name w:val="Header and Footer"/>
    <w:basedOn w:val="Standard"/>
  </w:style>
  <w:style w:type="paragraph" w:styleId="Header">
    <w:name w:val="header"/>
    <w:basedOn w:val="Standard"/>
    <w:uiPriority w:val="99"/>
    <w:pPr>
      <w:tabs>
        <w:tab w:val="center" w:pos="4680"/>
      </w:tabs>
      <w:spacing w:after="0" w:line="240" w:lineRule="auto"/>
    </w:pPr>
  </w:style>
  <w:style w:type="paragraph" w:styleId="Footer">
    <w:name w:val="footer"/>
    <w:basedOn w:val="Standard"/>
    <w:uiPriority w:val="99"/>
    <w:pPr>
      <w:tabs>
        <w:tab w:val="center" w:pos="4680"/>
      </w:tabs>
      <w:spacing w:after="0" w:line="240" w:lineRule="auto"/>
    </w:pPr>
  </w:style>
  <w:style w:type="paragraph" w:styleId="TOCHeading">
    <w:name w:val="TOC Heading"/>
    <w:basedOn w:val="Heading1"/>
    <w:next w:val="Standard"/>
    <w:uiPriority w:val="39"/>
    <w:qFormat w:val="1"/>
  </w:style>
  <w:style w:type="paragraph" w:styleId="Contents1" w:customStyle="1">
    <w:name w:val="Contents 1"/>
    <w:basedOn w:val="Standard"/>
    <w:next w:val="Standard"/>
    <w:autoRedefine w:val="1"/>
    <w:pPr>
      <w:spacing w:after="100"/>
    </w:pPr>
  </w:style>
  <w:style w:type="paragraph" w:styleId="Contents2" w:customStyle="1">
    <w:name w:val="Contents 2"/>
    <w:basedOn w:val="Standard"/>
    <w:next w:val="Standard"/>
    <w:autoRedefine w:val="1"/>
    <w:pPr>
      <w:spacing w:after="100"/>
      <w:ind w:left="220"/>
    </w:pPr>
  </w:style>
  <w:style w:type="paragraph" w:styleId="Contents3" w:customStyle="1">
    <w:name w:val="Contents 3"/>
    <w:basedOn w:val="Standard"/>
    <w:next w:val="Standard"/>
    <w:autoRedefine w:val="1"/>
    <w:pPr>
      <w:spacing w:after="100"/>
      <w:ind w:left="440"/>
    </w:pPr>
  </w:style>
  <w:style w:type="paragraph" w:styleId="CommentText">
    <w:name w:val="annotation text"/>
    <w:basedOn w:val="Standard"/>
    <w:pPr>
      <w:spacing w:line="240" w:lineRule="auto"/>
    </w:pPr>
    <w:rPr>
      <w:sz w:val="20"/>
      <w:szCs w:val="20"/>
    </w:rPr>
  </w:style>
  <w:style w:type="paragraph" w:styleId="BalloonText">
    <w:name w:val="Balloon Text"/>
    <w:basedOn w:val="Standard"/>
    <w:pPr>
      <w:spacing w:after="0" w:line="240" w:lineRule="auto"/>
    </w:pPr>
    <w:rPr>
      <w:rFonts w:ascii="Segoe UI" w:cs="Segoe UI" w:eastAsia="Segoe UI" w:hAnsi="Segoe UI"/>
      <w:sz w:val="18"/>
      <w:szCs w:val="18"/>
    </w:rPr>
  </w:style>
  <w:style w:type="paragraph" w:styleId="CommentSubject">
    <w:name w:val="annotation subject"/>
    <w:basedOn w:val="CommentText"/>
    <w:next w:val="CommentText"/>
    <w:rPr>
      <w:bCs w:val="1"/>
    </w:rPr>
  </w:style>
  <w:style w:type="paragraph" w:styleId="NormalWeb">
    <w:name w:val="Normal (Web)"/>
    <w:basedOn w:val="Standard"/>
    <w:pPr>
      <w:spacing w:after="280" w:before="280" w:line="240" w:lineRule="auto"/>
    </w:pPr>
    <w:rPr>
      <w:rFonts w:ascii="Times New Roman" w:cs="Times New Roman" w:eastAsia="Times New Roman" w:hAnsi="Times New Roman"/>
      <w:sz w:val="24"/>
      <w:szCs w:val="24"/>
    </w:rPr>
  </w:style>
  <w:style w:type="paragraph" w:styleId="Footnote" w:customStyle="1">
    <w:name w:val="Footnote"/>
    <w:basedOn w:val="Standard"/>
    <w:pPr>
      <w:spacing w:after="0" w:line="240" w:lineRule="auto"/>
    </w:pPr>
    <w:rPr>
      <w:sz w:val="20"/>
      <w:szCs w:val="20"/>
    </w:rPr>
  </w:style>
  <w:style w:type="paragraph" w:styleId="Default" w:customStyle="1">
    <w:name w:val="Default"/>
    <w:pPr>
      <w:suppressAutoHyphens w:val="1"/>
      <w:autoSpaceDN w:val="0"/>
      <w:textAlignment w:val="baseline"/>
    </w:pPr>
    <w:rPr>
      <w:color w:val="000000"/>
      <w:sz w:val="24"/>
      <w:szCs w:val="24"/>
    </w:rPr>
  </w:style>
  <w:style w:type="paragraph" w:styleId="HTMLPreformatted">
    <w:name w:val="HTML Preformatted"/>
    <w:basedOn w:val="Standar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paragraph" w:styleId="DocumentMap">
    <w:name w:val="Document Map"/>
    <w:basedOn w:val="Standard"/>
    <w:pPr>
      <w:spacing w:after="0" w:line="240" w:lineRule="auto"/>
    </w:pPr>
    <w:rPr>
      <w:rFonts w:ascii="Tahoma" w:eastAsia="Times New Roman" w:hAnsi="Tahoma"/>
      <w:sz w:val="16"/>
      <w:szCs w:val="16"/>
    </w:rPr>
  </w:style>
  <w:style w:type="paragraph" w:styleId="Contents4" w:customStyle="1">
    <w:name w:val="Contents 4"/>
    <w:basedOn w:val="Standard"/>
    <w:next w:val="Standard"/>
    <w:autoRedefine w:val="1"/>
    <w:pPr>
      <w:spacing w:after="100" w:line="240" w:lineRule="auto"/>
      <w:ind w:left="720"/>
    </w:pPr>
    <w:rPr>
      <w:rFonts w:cs="Times New Roman" w:eastAsia="Times New Roman"/>
      <w:szCs w:val="24"/>
    </w:rPr>
  </w:style>
  <w:style w:type="paragraph" w:styleId="Revision">
    <w:name w:val="Revision"/>
    <w:pPr>
      <w:suppressAutoHyphens w:val="1"/>
      <w:autoSpaceDN w:val="0"/>
      <w:textAlignment w:val="baseline"/>
    </w:pPr>
    <w:rPr>
      <w:rFonts w:ascii="Times New Roman" w:cs="Times New Roman" w:eastAsia="Times New Roman" w:hAnsi="Times New Roman"/>
      <w:sz w:val="24"/>
      <w:szCs w:val="24"/>
    </w:rPr>
  </w:style>
  <w:style w:type="paragraph" w:styleId="Contents5" w:customStyle="1">
    <w:name w:val="Contents 5"/>
    <w:basedOn w:val="Standard"/>
    <w:next w:val="Standard"/>
    <w:autoRedefine w:val="1"/>
    <w:pPr>
      <w:spacing w:after="0" w:line="240" w:lineRule="auto"/>
      <w:ind w:left="880"/>
    </w:pPr>
    <w:rPr>
      <w:sz w:val="18"/>
      <w:szCs w:val="18"/>
    </w:rPr>
  </w:style>
  <w:style w:type="paragraph" w:styleId="Contents6" w:customStyle="1">
    <w:name w:val="Contents 6"/>
    <w:basedOn w:val="Standard"/>
    <w:next w:val="Standard"/>
    <w:autoRedefine w:val="1"/>
    <w:pPr>
      <w:spacing w:after="0" w:line="240" w:lineRule="auto"/>
      <w:ind w:left="1100"/>
    </w:pPr>
    <w:rPr>
      <w:sz w:val="18"/>
      <w:szCs w:val="18"/>
    </w:rPr>
  </w:style>
  <w:style w:type="paragraph" w:styleId="Contents7" w:customStyle="1">
    <w:name w:val="Contents 7"/>
    <w:basedOn w:val="Standard"/>
    <w:next w:val="Standard"/>
    <w:autoRedefine w:val="1"/>
    <w:pPr>
      <w:spacing w:after="0" w:line="240" w:lineRule="auto"/>
      <w:ind w:left="1320"/>
    </w:pPr>
    <w:rPr>
      <w:sz w:val="18"/>
      <w:szCs w:val="18"/>
    </w:rPr>
  </w:style>
  <w:style w:type="paragraph" w:styleId="Contents8" w:customStyle="1">
    <w:name w:val="Contents 8"/>
    <w:basedOn w:val="Standard"/>
    <w:next w:val="Standard"/>
    <w:autoRedefine w:val="1"/>
    <w:pPr>
      <w:spacing w:after="0" w:line="240" w:lineRule="auto"/>
      <w:ind w:left="1540"/>
    </w:pPr>
    <w:rPr>
      <w:sz w:val="18"/>
      <w:szCs w:val="18"/>
    </w:rPr>
  </w:style>
  <w:style w:type="paragraph" w:styleId="Contents9" w:customStyle="1">
    <w:name w:val="Contents 9"/>
    <w:basedOn w:val="Standard"/>
    <w:next w:val="Standard"/>
    <w:autoRedefine w:val="1"/>
    <w:pPr>
      <w:spacing w:after="0" w:line="240" w:lineRule="auto"/>
      <w:ind w:left="1760"/>
    </w:pPr>
    <w:rPr>
      <w:sz w:val="18"/>
      <w:szCs w:val="18"/>
    </w:rPr>
  </w:style>
  <w:style w:type="paragraph" w:styleId="Code" w:customStyle="1">
    <w:name w:val="Code"/>
    <w:basedOn w:val="Standard"/>
    <w:pPr>
      <w:pBdr>
        <w:top w:color="000000" w:space="1" w:sz="4" w:val="single"/>
        <w:left w:color="000000" w:space="4" w:sz="4" w:val="single"/>
        <w:bottom w:color="000000" w:space="1" w:sz="4" w:val="single"/>
        <w:right w:color="000000" w:space="4" w:sz="4" w:val="single"/>
      </w:pBdr>
      <w:shd w:color="auto" w:fill="f2f2f2" w:val="clear"/>
      <w:spacing w:after="0" w:line="240" w:lineRule="auto"/>
      <w:ind w:left="720"/>
    </w:pPr>
    <w:rPr>
      <w:rFonts w:ascii="Courier New" w:cs="Courier New" w:eastAsia="Courier New" w:hAnsi="Courier New"/>
    </w:rPr>
  </w:style>
  <w:style w:type="paragraph" w:styleId="msonormal0" w:customStyle="1">
    <w:name w:val="msonormal"/>
    <w:basedOn w:val="Standard"/>
    <w:pPr>
      <w:spacing w:after="280" w:before="280" w:line="240" w:lineRule="auto"/>
    </w:pPr>
    <w:rPr>
      <w:rFonts w:ascii="Times New Roman" w:cs="Times New Roman" w:eastAsia="Times New Roman" w:hAnsi="Times New Roman"/>
      <w:sz w:val="24"/>
      <w:szCs w:val="24"/>
    </w:rPr>
  </w:style>
  <w:style w:type="paragraph" w:styleId="font0" w:customStyle="1">
    <w:name w:val="font0"/>
    <w:basedOn w:val="Standard"/>
    <w:pPr>
      <w:spacing w:after="280" w:before="280" w:line="240" w:lineRule="auto"/>
    </w:pPr>
    <w:rPr>
      <w:rFonts w:eastAsia="Times New Roman"/>
      <w:color w:val="000000"/>
    </w:rPr>
  </w:style>
  <w:style w:type="paragraph" w:styleId="font5" w:customStyle="1">
    <w:name w:val="font5"/>
    <w:basedOn w:val="Standard"/>
    <w:pPr>
      <w:spacing w:after="280" w:before="280" w:line="240" w:lineRule="auto"/>
    </w:pPr>
    <w:rPr>
      <w:rFonts w:eastAsia="Times New Roman"/>
      <w:bCs w:val="1"/>
      <w:color w:val="000000"/>
    </w:rPr>
  </w:style>
  <w:style w:type="paragraph" w:styleId="font6" w:customStyle="1">
    <w:name w:val="font6"/>
    <w:basedOn w:val="Standard"/>
    <w:pPr>
      <w:spacing w:after="280" w:before="280" w:line="240" w:lineRule="auto"/>
    </w:pPr>
    <w:rPr>
      <w:rFonts w:eastAsia="Times New Roman"/>
      <w:bCs w:val="1"/>
      <w:color w:val="000000"/>
      <w:sz w:val="28"/>
      <w:szCs w:val="28"/>
    </w:rPr>
  </w:style>
  <w:style w:type="paragraph" w:styleId="font7" w:customStyle="1">
    <w:name w:val="font7"/>
    <w:basedOn w:val="Standard"/>
    <w:pPr>
      <w:spacing w:after="280" w:before="280" w:line="240" w:lineRule="auto"/>
    </w:pPr>
    <w:rPr>
      <w:rFonts w:eastAsia="Times New Roman"/>
      <w:color w:val="000000"/>
      <w:sz w:val="24"/>
      <w:szCs w:val="24"/>
    </w:rPr>
  </w:style>
  <w:style w:type="paragraph" w:styleId="font8" w:customStyle="1">
    <w:name w:val="font8"/>
    <w:basedOn w:val="Standard"/>
    <w:pPr>
      <w:spacing w:after="280" w:before="280" w:line="240" w:lineRule="auto"/>
    </w:pPr>
    <w:rPr>
      <w:rFonts w:eastAsia="Times New Roman"/>
      <w:bCs w:val="1"/>
      <w:color w:val="000000"/>
      <w:sz w:val="24"/>
      <w:szCs w:val="24"/>
    </w:rPr>
  </w:style>
  <w:style w:type="paragraph" w:styleId="xl65" w:customStyle="1">
    <w:name w:val="xl65"/>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66" w:customStyle="1">
    <w:name w:val="xl66"/>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67" w:customStyle="1">
    <w:name w:val="xl67"/>
    <w:basedOn w:val="Standard"/>
    <w:pPr>
      <w:spacing w:after="280" w:before="280" w:line="240" w:lineRule="auto"/>
      <w:textAlignment w:val="top"/>
    </w:pPr>
    <w:rPr>
      <w:rFonts w:ascii="Times New Roman" w:cs="Times New Roman" w:eastAsia="Times New Roman" w:hAnsi="Times New Roman"/>
      <w:sz w:val="24"/>
      <w:szCs w:val="24"/>
    </w:rPr>
  </w:style>
  <w:style w:type="paragraph" w:styleId="xl68" w:customStyle="1">
    <w:name w:val="xl6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69" w:customStyle="1">
    <w:name w:val="xl69"/>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70" w:customStyle="1">
    <w:name w:val="xl70"/>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71" w:customStyle="1">
    <w:name w:val="xl71"/>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textAlignment w:val="top"/>
    </w:pPr>
    <w:rPr>
      <w:rFonts w:ascii="Times New Roman" w:cs="Times New Roman" w:eastAsia="Times New Roman" w:hAnsi="Times New Roman"/>
      <w:sz w:val="24"/>
      <w:szCs w:val="24"/>
    </w:rPr>
  </w:style>
  <w:style w:type="paragraph" w:styleId="xl72" w:customStyle="1">
    <w:name w:val="xl72"/>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3" w:customStyle="1">
    <w:name w:val="xl73"/>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74" w:customStyle="1">
    <w:name w:val="xl74"/>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75" w:customStyle="1">
    <w:name w:val="xl75"/>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6" w:customStyle="1">
    <w:name w:val="xl76"/>
    <w:basedOn w:val="Standard"/>
    <w:pPr>
      <w:pBdr>
        <w:top w:color="000000" w:space="0" w:sz="4" w:val="single"/>
        <w:left w:color="000000" w:space="0" w:sz="4" w:val="single"/>
        <w:bottom w:color="000000" w:space="0" w:sz="4" w:val="single"/>
        <w:right w:color="000000" w:space="0" w:sz="4" w:val="single"/>
      </w:pBdr>
      <w:spacing w:after="280" w:before="280" w:line="240" w:lineRule="auto"/>
    </w:pPr>
    <w:rPr>
      <w:rFonts w:ascii="Times New Roman" w:cs="Times New Roman" w:eastAsia="Times New Roman" w:hAnsi="Times New Roman"/>
      <w:sz w:val="24"/>
      <w:szCs w:val="24"/>
    </w:rPr>
  </w:style>
  <w:style w:type="paragraph" w:styleId="xl77" w:customStyle="1">
    <w:name w:val="xl77"/>
    <w:basedOn w:val="Standard"/>
    <w:pPr>
      <w:pBdr>
        <w:top w:color="000000" w:space="0" w:sz="4" w:val="single"/>
        <w:left w:color="000000" w:space="0" w:sz="4" w:val="single"/>
        <w:bottom w:color="000000" w:space="0" w:sz="4" w:val="single"/>
        <w:right w:color="000000" w:space="0" w:sz="4" w:val="single"/>
      </w:pBdr>
      <w:shd w:color="auto" w:fill="e7e6e6"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8" w:customStyle="1">
    <w:name w:val="xl78"/>
    <w:basedOn w:val="Standard"/>
    <w:pPr>
      <w:pBdr>
        <w:top w:color="000000" w:space="0" w:sz="4" w:val="single"/>
        <w:left w:color="000000" w:space="0" w:sz="4" w:val="single"/>
        <w:bottom w:color="000000" w:space="0" w:sz="4" w:val="single"/>
        <w:right w:color="000000" w:space="0" w:sz="4" w:val="single"/>
      </w:pBd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9" w:customStyle="1">
    <w:name w:val="xl79"/>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80" w:customStyle="1">
    <w:name w:val="xl80"/>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81" w:customStyle="1">
    <w:name w:val="xl81"/>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82" w:customStyle="1">
    <w:name w:val="xl82"/>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83" w:customStyle="1">
    <w:name w:val="xl83"/>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textAlignment w:val="top"/>
    </w:pPr>
    <w:rPr>
      <w:rFonts w:ascii="Times New Roman" w:cs="Times New Roman" w:eastAsia="Times New Roman" w:hAnsi="Times New Roman"/>
      <w:sz w:val="24"/>
      <w:szCs w:val="24"/>
    </w:rPr>
  </w:style>
  <w:style w:type="paragraph" w:styleId="xl84" w:customStyle="1">
    <w:name w:val="xl84"/>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85" w:customStyle="1">
    <w:name w:val="xl85"/>
    <w:basedOn w:val="Standard"/>
    <w:pPr>
      <w:shd w:color="auto" w:fill="ffffff" w:val="clear"/>
      <w:spacing w:after="280" w:before="280" w:line="240" w:lineRule="auto"/>
    </w:pPr>
    <w:rPr>
      <w:rFonts w:ascii="Times New Roman" w:cs="Times New Roman" w:eastAsia="Times New Roman" w:hAnsi="Times New Roman"/>
      <w:sz w:val="24"/>
      <w:szCs w:val="24"/>
    </w:rPr>
  </w:style>
  <w:style w:type="paragraph" w:styleId="xl86" w:customStyle="1">
    <w:name w:val="xl86"/>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87" w:customStyle="1">
    <w:name w:val="xl87"/>
    <w:basedOn w:val="Standard"/>
    <w:pPr>
      <w:spacing w:after="280" w:before="280" w:line="240" w:lineRule="auto"/>
      <w:textAlignment w:val="top"/>
    </w:pPr>
    <w:rPr>
      <w:rFonts w:ascii="Times New Roman" w:cs="Times New Roman" w:eastAsia="Times New Roman" w:hAnsi="Times New Roman"/>
      <w:sz w:val="24"/>
      <w:szCs w:val="24"/>
    </w:rPr>
  </w:style>
  <w:style w:type="paragraph" w:styleId="xl88" w:customStyle="1">
    <w:name w:val="xl8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89" w:customStyle="1">
    <w:name w:val="xl89"/>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90" w:customStyle="1">
    <w:name w:val="xl90"/>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pPr>
    <w:rPr>
      <w:rFonts w:ascii="Times New Roman" w:cs="Times New Roman" w:eastAsia="Times New Roman" w:hAnsi="Times New Roman"/>
      <w:bCs w:val="1"/>
      <w:sz w:val="24"/>
      <w:szCs w:val="24"/>
    </w:rPr>
  </w:style>
  <w:style w:type="paragraph" w:styleId="xl91" w:customStyle="1">
    <w:name w:val="xl91"/>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92" w:customStyle="1">
    <w:name w:val="xl92"/>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93" w:customStyle="1">
    <w:name w:val="xl93"/>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94" w:customStyle="1">
    <w:name w:val="xl9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95" w:customStyle="1">
    <w:name w:val="xl95"/>
    <w:basedOn w:val="Standard"/>
    <w:pPr>
      <w:spacing w:after="280" w:before="280" w:line="240" w:lineRule="auto"/>
      <w:textAlignment w:val="top"/>
    </w:pPr>
    <w:rPr>
      <w:rFonts w:ascii="Times New Roman" w:cs="Times New Roman" w:eastAsia="Times New Roman" w:hAnsi="Times New Roman"/>
      <w:sz w:val="24"/>
      <w:szCs w:val="24"/>
    </w:rPr>
  </w:style>
  <w:style w:type="paragraph" w:styleId="xl96" w:customStyle="1">
    <w:name w:val="xl96"/>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97" w:customStyle="1">
    <w:name w:val="xl97"/>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98" w:customStyle="1">
    <w:name w:val="xl98"/>
    <w:basedOn w:val="Standard"/>
    <w:pPr>
      <w:spacing w:after="280" w:before="280" w:line="240" w:lineRule="auto"/>
      <w:textAlignment w:val="top"/>
    </w:pPr>
    <w:rPr>
      <w:rFonts w:ascii="Times New Roman" w:cs="Times New Roman" w:eastAsia="Times New Roman" w:hAnsi="Times New Roman"/>
      <w:sz w:val="24"/>
      <w:szCs w:val="24"/>
    </w:rPr>
  </w:style>
  <w:style w:type="paragraph" w:styleId="xl99" w:customStyle="1">
    <w:name w:val="xl99"/>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100" w:customStyle="1">
    <w:name w:val="xl100"/>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01" w:customStyle="1">
    <w:name w:val="xl101"/>
    <w:basedOn w:val="Standard"/>
    <w:pPr>
      <w:pBdr>
        <w:top w:color="000000" w:space="0" w:sz="4" w:val="single"/>
        <w:left w:color="000000" w:space="0" w:sz="4" w:val="single"/>
        <w:bottom w:color="000000" w:space="0" w:sz="4" w:val="single"/>
        <w:right w:color="000000" w:space="0" w:sz="4" w:val="single"/>
      </w:pBd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2" w:customStyle="1">
    <w:name w:val="xl102"/>
    <w:basedOn w:val="Standard"/>
    <w:pP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3" w:customStyle="1">
    <w:name w:val="xl103"/>
    <w:basedOn w:val="Standard"/>
    <w:pP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4" w:customStyle="1">
    <w:name w:val="xl10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05" w:customStyle="1">
    <w:name w:val="xl105"/>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6" w:customStyle="1">
    <w:name w:val="xl106"/>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7" w:customStyle="1">
    <w:name w:val="xl107"/>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08" w:customStyle="1">
    <w:name w:val="xl108"/>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9" w:customStyle="1">
    <w:name w:val="xl109"/>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0" w:customStyle="1">
    <w:name w:val="xl110"/>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1" w:customStyle="1">
    <w:name w:val="xl111"/>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2" w:customStyle="1">
    <w:name w:val="xl112"/>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113" w:customStyle="1">
    <w:name w:val="xl113"/>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4" w:customStyle="1">
    <w:name w:val="xl114"/>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5" w:customStyle="1">
    <w:name w:val="xl115"/>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6" w:customStyle="1">
    <w:name w:val="xl116"/>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7" w:customStyle="1">
    <w:name w:val="xl117"/>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8" w:customStyle="1">
    <w:name w:val="xl11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119" w:customStyle="1">
    <w:name w:val="xl119"/>
    <w:basedOn w:val="Standard"/>
    <w:pPr>
      <w:shd w:color="auto" w:fill="e7e6e6"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20" w:customStyle="1">
    <w:name w:val="xl120"/>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1" w:customStyle="1">
    <w:name w:val="xl121"/>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122" w:customStyle="1">
    <w:name w:val="xl122"/>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23" w:customStyle="1">
    <w:name w:val="xl123"/>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24" w:customStyle="1">
    <w:name w:val="xl12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25" w:customStyle="1">
    <w:name w:val="xl125"/>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6" w:customStyle="1">
    <w:name w:val="xl126"/>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7" w:customStyle="1">
    <w:name w:val="xl127"/>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8" w:customStyle="1">
    <w:name w:val="xl128"/>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9" w:customStyle="1">
    <w:name w:val="xl129"/>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30" w:customStyle="1">
    <w:name w:val="xl130"/>
    <w:basedOn w:val="Standard"/>
    <w:pPr>
      <w:spacing w:after="280" w:before="280" w:line="240" w:lineRule="auto"/>
      <w:textAlignment w:val="center"/>
    </w:pPr>
    <w:rPr>
      <w:rFonts w:ascii="Times New Roman" w:cs="Times New Roman" w:eastAsia="Times New Roman" w:hAnsi="Times New Roman"/>
      <w:sz w:val="24"/>
      <w:szCs w:val="24"/>
    </w:rPr>
  </w:style>
  <w:style w:type="paragraph" w:styleId="Framecontents" w:customStyle="1">
    <w:name w:val="Frame contents"/>
    <w:basedOn w:val="Standard"/>
  </w:style>
  <w:style w:type="paragraph" w:styleId="TableContents" w:customStyle="1">
    <w:name w:val="Table Contents"/>
    <w:basedOn w:val="Standard"/>
    <w:pPr>
      <w:suppressLineNumbers w:val="1"/>
    </w:pPr>
  </w:style>
  <w:style w:type="paragraph" w:styleId="IndexHeading">
    <w:name w:val="index heading"/>
    <w:basedOn w:val="Heading"/>
    <w:pPr>
      <w:suppressLineNumbers w:val="1"/>
    </w:pPr>
    <w:rPr>
      <w:bCs w:val="1"/>
      <w:sz w:val="32"/>
      <w:szCs w:val="32"/>
    </w:rPr>
  </w:style>
  <w:style w:type="paragraph" w:styleId="ContentsHeading" w:customStyle="1">
    <w:name w:val="Contents Heading"/>
    <w:basedOn w:val="IndexHeading"/>
  </w:style>
  <w:style w:type="character" w:styleId="Heading1Char" w:customStyle="1">
    <w:name w:val="Heading 1 Char"/>
    <w:rPr>
      <w:rFonts w:ascii="Calibri Light" w:cs="Tahoma" w:eastAsia="Calibri" w:hAnsi="Calibri Light"/>
      <w:color w:val="2f5496"/>
      <w:sz w:val="32"/>
      <w:szCs w:val="32"/>
    </w:rPr>
  </w:style>
  <w:style w:type="character" w:styleId="Heading2Char" w:customStyle="1">
    <w:name w:val="Heading 2 Char"/>
    <w:rPr>
      <w:rFonts w:ascii="Verdana" w:cs="Times New Roman" w:eastAsia="Times New Roman" w:hAnsi="Verdana"/>
      <w:b w:val="0"/>
      <w:bCs w:val="1"/>
      <w:color w:val="2f5496"/>
      <w:sz w:val="28"/>
      <w:szCs w:val="36"/>
    </w:rPr>
  </w:style>
  <w:style w:type="character" w:styleId="Heading3Char" w:customStyle="1">
    <w:name w:val="Heading 3 Char"/>
    <w:rPr>
      <w:rFonts w:ascii="Calibri Light" w:cs="Tahoma" w:eastAsia="Calibri" w:hAnsi="Calibri Light"/>
      <w:color w:val="1f3763"/>
      <w:sz w:val="24"/>
      <w:szCs w:val="24"/>
    </w:rPr>
  </w:style>
  <w:style w:type="character" w:styleId="Heading5Char" w:customStyle="1">
    <w:name w:val="Heading 5 Char"/>
    <w:rPr>
      <w:rFonts w:ascii="Calibri Light" w:cs="Tahoma" w:eastAsia="Calibri" w:hAnsi="Calibri Light"/>
      <w:color w:val="2f5496"/>
    </w:rPr>
  </w:style>
  <w:style w:type="character" w:styleId="NoSpacingChar" w:customStyle="1">
    <w:name w:val="No Spacing Char"/>
    <w:rPr>
      <w:rFonts w:ascii="Calibri" w:cs="Times New Roman" w:eastAsia="Times New Roman" w:hAnsi="Calibri"/>
      <w:lang w:bidi="en-US"/>
    </w:rPr>
  </w:style>
  <w:style w:type="character" w:styleId="Internetlink" w:customStyle="1">
    <w:name w:val="Internet link"/>
    <w:rPr>
      <w:rFonts w:cs="Times New Roman"/>
      <w:color w:val="0563c1"/>
      <w:u w:val="single"/>
    </w:rPr>
  </w:style>
  <w:style w:type="character" w:styleId="HeaderChar" w:customStyle="1">
    <w:name w:val="Header Char"/>
    <w:basedOn w:val="DefaultParagraphFont"/>
    <w:uiPriority w:val="99"/>
  </w:style>
  <w:style w:type="character" w:styleId="FooterChar" w:customStyle="1">
    <w:name w:val="Footer Char"/>
    <w:basedOn w:val="DefaultParagraphFont"/>
    <w:uiPriority w:val="99"/>
  </w:style>
  <w:style w:type="character" w:styleId="CommentReference">
    <w:name w:val="annotation reference"/>
    <w:rPr>
      <w:sz w:val="16"/>
      <w:szCs w:val="16"/>
    </w:rPr>
  </w:style>
  <w:style w:type="character" w:styleId="CommentTextChar" w:customStyle="1">
    <w:name w:val="Comment Text Char"/>
    <w:rPr>
      <w:sz w:val="20"/>
      <w:szCs w:val="20"/>
    </w:rPr>
  </w:style>
  <w:style w:type="character" w:styleId="BalloonTextChar" w:customStyle="1">
    <w:name w:val="Balloon Text Char"/>
    <w:rPr>
      <w:rFonts w:ascii="Segoe UI" w:cs="Segoe UI" w:eastAsia="Segoe UI" w:hAnsi="Segoe UI"/>
      <w:sz w:val="18"/>
      <w:szCs w:val="18"/>
    </w:rPr>
  </w:style>
  <w:style w:type="character" w:styleId="CommentSubjectChar" w:customStyle="1">
    <w:name w:val="Comment Subject Char"/>
    <w:rPr>
      <w:b w:val="0"/>
      <w:bCs w:val="1"/>
      <w:sz w:val="20"/>
      <w:szCs w:val="20"/>
    </w:rPr>
  </w:style>
  <w:style w:type="character" w:styleId="VisitedInternetLink" w:customStyle="1">
    <w:name w:val="Visited Internet Link"/>
    <w:rPr>
      <w:color w:val="954f72"/>
      <w:u w:val="single"/>
    </w:rPr>
  </w:style>
  <w:style w:type="character" w:styleId="Strong">
    <w:name w:val="Strong"/>
    <w:rPr>
      <w:b w:val="0"/>
      <w:bCs w:val="1"/>
    </w:rPr>
  </w:style>
  <w:style w:type="character" w:styleId="HTMLCode">
    <w:name w:val="HTML Code"/>
    <w:rPr>
      <w:rFonts w:ascii="Courier New" w:cs="Courier New" w:eastAsia="Times New Roman" w:hAnsi="Courier New"/>
      <w:sz w:val="20"/>
      <w:szCs w:val="20"/>
    </w:rPr>
  </w:style>
  <w:style w:type="character" w:styleId="hljs-tag" w:customStyle="1">
    <w:name w:val="hljs-tag"/>
    <w:basedOn w:val="DefaultParagraphFont"/>
  </w:style>
  <w:style w:type="character" w:styleId="hljs-title" w:customStyle="1">
    <w:name w:val="hljs-title"/>
    <w:basedOn w:val="DefaultParagraphFont"/>
  </w:style>
  <w:style w:type="character" w:styleId="hljs-attribute" w:customStyle="1">
    <w:name w:val="hljs-attribute"/>
    <w:basedOn w:val="DefaultParagraphFont"/>
  </w:style>
  <w:style w:type="character" w:styleId="hljs-value" w:customStyle="1">
    <w:name w:val="hljs-value"/>
    <w:basedOn w:val="DefaultParagraphFont"/>
  </w:style>
  <w:style w:type="character" w:styleId="UnresolvedMention1" w:customStyle="1">
    <w:name w:val="Unresolved Mention1"/>
    <w:rPr>
      <w:color w:val="605e5c"/>
      <w:shd w:color="auto" w:fill="e1dfdd" w:val="clear"/>
    </w:rPr>
  </w:style>
  <w:style w:type="character" w:styleId="UnresolvedMention2" w:customStyle="1">
    <w:name w:val="Unresolved Mention2"/>
    <w:rPr>
      <w:color w:val="605e5c"/>
      <w:shd w:color="auto" w:fill="e1dfdd" w:val="clear"/>
    </w:rPr>
  </w:style>
  <w:style w:type="character" w:styleId="FootnoteTextChar" w:customStyle="1">
    <w:name w:val="Footnote Text Char"/>
    <w:rPr>
      <w:sz w:val="20"/>
      <w:szCs w:val="20"/>
    </w:rPr>
  </w:style>
  <w:style w:type="character" w:styleId="FootnoteSymbol" w:customStyle="1">
    <w:name w:val="Footnote Symbol"/>
    <w:rPr>
      <w:position w:val="0"/>
      <w:vertAlign w:val="superscript"/>
    </w:rPr>
  </w:style>
  <w:style w:type="character" w:styleId="Footnoteanchor" w:customStyle="1">
    <w:name w:val="Footnote anchor"/>
    <w:rPr>
      <w:position w:val="0"/>
      <w:vertAlign w:val="superscript"/>
    </w:rPr>
  </w:style>
  <w:style w:type="character" w:styleId="Heading4Char" w:customStyle="1">
    <w:name w:val="Heading 4 Char"/>
    <w:rPr>
      <w:rFonts w:ascii="Calibri" w:cs="Times New Roman" w:eastAsia="Times New Roman" w:hAnsi="Calibri"/>
      <w:b w:val="0"/>
      <w:bCs w:val="1"/>
      <w:szCs w:val="24"/>
    </w:rPr>
  </w:style>
  <w:style w:type="character" w:styleId="HTMLPreformattedChar" w:customStyle="1">
    <w:name w:val="HTML Preformatted Char"/>
    <w:rPr>
      <w:rFonts w:ascii="Courier New" w:cs="Courier New" w:eastAsia="Times New Roman" w:hAnsi="Courier New"/>
      <w:sz w:val="20"/>
      <w:szCs w:val="20"/>
    </w:rPr>
  </w:style>
  <w:style w:type="character" w:styleId="DocumentMapChar" w:customStyle="1">
    <w:name w:val="Document Map Char"/>
    <w:rPr>
      <w:rFonts w:ascii="Tahoma" w:cs="Tahoma" w:eastAsia="Times New Roman" w:hAnsi="Tahoma"/>
      <w:sz w:val="16"/>
      <w:szCs w:val="16"/>
    </w:rPr>
  </w:style>
  <w:style w:type="character" w:styleId="apple-converted-space" w:customStyle="1">
    <w:name w:val="apple-converted-space"/>
    <w:basedOn w:val="DefaultParagraphFont"/>
  </w:style>
  <w:style w:type="character" w:styleId="apple-style-span" w:customStyle="1">
    <w:name w:val="apple-style-span"/>
    <w:basedOn w:val="DefaultParagraphFont"/>
  </w:style>
  <w:style w:type="character" w:styleId="PlaceholderText">
    <w:name w:val="Placeholder Text"/>
    <w:rPr>
      <w:color w:val="808080"/>
    </w:rPr>
  </w:style>
  <w:style w:type="character" w:styleId="CodeChar" w:customStyle="1">
    <w:name w:val="Code Char"/>
    <w:rPr>
      <w:rFonts w:ascii="Courier New" w:cs="Courier New" w:eastAsia="Courier New" w:hAnsi="Courier New"/>
      <w:shd w:color="auto" w:fill="f2f2f2" w:val="clear"/>
    </w:rPr>
  </w:style>
  <w:style w:type="character" w:styleId="Mention1" w:customStyle="1">
    <w:name w:val="Mention1"/>
    <w:rPr>
      <w:color w:val="2b579a"/>
      <w:shd w:color="auto" w:fill="e6e6e6" w:val="clear"/>
    </w:rPr>
  </w:style>
  <w:style w:type="character" w:styleId="Emphasis">
    <w:name w:val="Emphasis"/>
    <w:rPr>
      <w:i w:val="1"/>
      <w:iCs w:val="1"/>
    </w:rPr>
  </w:style>
  <w:style w:type="character" w:styleId="IndexLink" w:customStyle="1">
    <w:name w:val="Index Link"/>
  </w:style>
  <w:style w:type="character" w:styleId="ListLabel1" w:customStyle="1">
    <w:name w:val="ListLabel 1"/>
    <w:rPr>
      <w:rFonts w:cs="Symbol"/>
      <w:color w:val="auto"/>
    </w:rPr>
  </w:style>
  <w:style w:type="character" w:styleId="ListLabel2" w:customStyle="1">
    <w:name w:val="ListLabel 2"/>
    <w:rPr>
      <w:rFonts w:cs="Courier New"/>
    </w:rPr>
  </w:style>
  <w:style w:type="character" w:styleId="ListLabel3" w:customStyle="1">
    <w:name w:val="ListLabel 3"/>
    <w:rPr>
      <w:rFonts w:cs="Wingdings"/>
    </w:rPr>
  </w:style>
  <w:style w:type="character" w:styleId="ListLabel4" w:customStyle="1">
    <w:name w:val="ListLabel 4"/>
    <w:rPr>
      <w:rFonts w:cs="Symbol"/>
    </w:rPr>
  </w:style>
  <w:style w:type="character" w:styleId="ListLabel5" w:customStyle="1">
    <w:name w:val="ListLabel 5"/>
    <w:rPr>
      <w:rFonts w:cs="Courier New"/>
    </w:rPr>
  </w:style>
  <w:style w:type="character" w:styleId="ListLabel6" w:customStyle="1">
    <w:name w:val="ListLabel 6"/>
    <w:rPr>
      <w:rFonts w:cs="Wingdings"/>
    </w:rPr>
  </w:style>
  <w:style w:type="character" w:styleId="ListLabel7" w:customStyle="1">
    <w:name w:val="ListLabel 7"/>
    <w:rPr>
      <w:rFonts w:cs="Symbol"/>
    </w:rPr>
  </w:style>
  <w:style w:type="character" w:styleId="ListLabel8" w:customStyle="1">
    <w:name w:val="ListLabel 8"/>
    <w:rPr>
      <w:rFonts w:cs="Courier New"/>
    </w:rPr>
  </w:style>
  <w:style w:type="character" w:styleId="ListLabel9" w:customStyle="1">
    <w:name w:val="ListLabel 9"/>
    <w:rPr>
      <w:rFonts w:cs="Wingdings"/>
    </w:rPr>
  </w:style>
  <w:style w:type="character" w:styleId="ListLabel10" w:customStyle="1">
    <w:name w:val="ListLabel 10"/>
    <w:rPr>
      <w:rFonts w:cs="Symbol"/>
    </w:rPr>
  </w:style>
  <w:style w:type="character" w:styleId="ListLabel11" w:customStyle="1">
    <w:name w:val="ListLabel 11"/>
    <w:rPr>
      <w:rFonts w:cs="Courier New"/>
    </w:rPr>
  </w:style>
  <w:style w:type="character" w:styleId="ListLabel12" w:customStyle="1">
    <w:name w:val="ListLabel 12"/>
    <w:rPr>
      <w:rFonts w:cs="Wingdings"/>
    </w:rPr>
  </w:style>
  <w:style w:type="character" w:styleId="ListLabel13" w:customStyle="1">
    <w:name w:val="ListLabel 13"/>
    <w:rPr>
      <w:rFonts w:cs="Symbol"/>
    </w:rPr>
  </w:style>
  <w:style w:type="character" w:styleId="ListLabel14" w:customStyle="1">
    <w:name w:val="ListLabel 14"/>
    <w:rPr>
      <w:rFonts w:cs="Courier New"/>
    </w:rPr>
  </w:style>
  <w:style w:type="character" w:styleId="ListLabel15" w:customStyle="1">
    <w:name w:val="ListLabel 15"/>
    <w:rPr>
      <w:rFonts w:cs="Wingdings"/>
    </w:rPr>
  </w:style>
  <w:style w:type="character" w:styleId="ListLabel16" w:customStyle="1">
    <w:name w:val="ListLabel 16"/>
    <w:rPr>
      <w:rFonts w:cs="Symbol"/>
    </w:rPr>
  </w:style>
  <w:style w:type="character" w:styleId="ListLabel17" w:customStyle="1">
    <w:name w:val="ListLabel 17"/>
    <w:rPr>
      <w:rFonts w:cs="Courier New"/>
    </w:rPr>
  </w:style>
  <w:style w:type="character" w:styleId="ListLabel18" w:customStyle="1">
    <w:name w:val="ListLabel 18"/>
    <w:rPr>
      <w:rFonts w:cs="Wingdings"/>
    </w:rPr>
  </w:style>
  <w:style w:type="character" w:styleId="ListLabel19" w:customStyle="1">
    <w:name w:val="ListLabel 19"/>
    <w:rPr>
      <w:rFonts w:cs="Symbol"/>
    </w:rPr>
  </w:style>
  <w:style w:type="character" w:styleId="ListLabel20" w:customStyle="1">
    <w:name w:val="ListLabel 20"/>
    <w:rPr>
      <w:rFonts w:cs="Courier New"/>
    </w:rPr>
  </w:style>
  <w:style w:type="character" w:styleId="ListLabel21" w:customStyle="1">
    <w:name w:val="ListLabel 21"/>
    <w:rPr>
      <w:rFonts w:cs="Wingdings"/>
    </w:rPr>
  </w:style>
  <w:style w:type="character" w:styleId="ListLabel22" w:customStyle="1">
    <w:name w:val="ListLabel 22"/>
    <w:rPr>
      <w:rFonts w:cs="Symbol"/>
    </w:rPr>
  </w:style>
  <w:style w:type="character" w:styleId="ListLabel23" w:customStyle="1">
    <w:name w:val="ListLabel 23"/>
    <w:rPr>
      <w:rFonts w:cs="Courier New"/>
    </w:rPr>
  </w:style>
  <w:style w:type="character" w:styleId="ListLabel24" w:customStyle="1">
    <w:name w:val="ListLabel 24"/>
    <w:rPr>
      <w:rFonts w:cs="Wingdings"/>
    </w:rPr>
  </w:style>
  <w:style w:type="character" w:styleId="ListLabel25" w:customStyle="1">
    <w:name w:val="ListLabel 25"/>
    <w:rPr>
      <w:rFonts w:cs="Symbol"/>
    </w:rPr>
  </w:style>
  <w:style w:type="character" w:styleId="ListLabel26" w:customStyle="1">
    <w:name w:val="ListLabel 26"/>
    <w:rPr>
      <w:rFonts w:cs="Courier New"/>
    </w:rPr>
  </w:style>
  <w:style w:type="character" w:styleId="ListLabel27" w:customStyle="1">
    <w:name w:val="ListLabel 27"/>
    <w:rPr>
      <w:rFonts w:cs="Wingdings"/>
    </w:rPr>
  </w:style>
  <w:style w:type="character" w:styleId="ListLabel28" w:customStyle="1">
    <w:name w:val="ListLabel 28"/>
    <w:rPr>
      <w:rFonts w:cs="Symbol"/>
    </w:rPr>
  </w:style>
  <w:style w:type="character" w:styleId="ListLabel29" w:customStyle="1">
    <w:name w:val="ListLabel 29"/>
    <w:rPr>
      <w:rFonts w:cs="Courier New"/>
    </w:rPr>
  </w:style>
  <w:style w:type="character" w:styleId="ListLabel30" w:customStyle="1">
    <w:name w:val="ListLabel 30"/>
    <w:rPr>
      <w:rFonts w:cs="Wingdings"/>
    </w:rPr>
  </w:style>
  <w:style w:type="character" w:styleId="ListLabel31" w:customStyle="1">
    <w:name w:val="ListLabel 31"/>
    <w:rPr>
      <w:rFonts w:cs="Symbol"/>
    </w:rPr>
  </w:style>
  <w:style w:type="character" w:styleId="ListLabel32" w:customStyle="1">
    <w:name w:val="ListLabel 32"/>
    <w:rPr>
      <w:rFonts w:cs="Courier New"/>
    </w:rPr>
  </w:style>
  <w:style w:type="character" w:styleId="ListLabel33" w:customStyle="1">
    <w:name w:val="ListLabel 33"/>
    <w:rPr>
      <w:rFonts w:cs="Wingdings"/>
    </w:rPr>
  </w:style>
  <w:style w:type="character" w:styleId="ListLabel34" w:customStyle="1">
    <w:name w:val="ListLabel 34"/>
    <w:rPr>
      <w:rFonts w:cs="Symbol"/>
    </w:rPr>
  </w:style>
  <w:style w:type="character" w:styleId="ListLabel35" w:customStyle="1">
    <w:name w:val="ListLabel 35"/>
    <w:rPr>
      <w:rFonts w:cs="Courier New"/>
    </w:rPr>
  </w:style>
  <w:style w:type="character" w:styleId="ListLabel36" w:customStyle="1">
    <w:name w:val="ListLabel 36"/>
    <w:rPr>
      <w:rFonts w:cs="Wingdings"/>
    </w:rPr>
  </w:style>
  <w:style w:type="character" w:styleId="ListLabel37" w:customStyle="1">
    <w:name w:val="ListLabel 37"/>
    <w:rPr>
      <w:rFonts w:cs="Symbol"/>
    </w:rPr>
  </w:style>
  <w:style w:type="character" w:styleId="ListLabel38" w:customStyle="1">
    <w:name w:val="ListLabel 38"/>
    <w:rPr>
      <w:rFonts w:cs="Courier New"/>
    </w:rPr>
  </w:style>
  <w:style w:type="character" w:styleId="ListLabel39" w:customStyle="1">
    <w:name w:val="ListLabel 39"/>
    <w:rPr>
      <w:rFonts w:cs="Wingdings"/>
    </w:rPr>
  </w:style>
  <w:style w:type="character" w:styleId="ListLabel40" w:customStyle="1">
    <w:name w:val="ListLabel 40"/>
    <w:rPr>
      <w:rFonts w:cs="Symbol"/>
    </w:rPr>
  </w:style>
  <w:style w:type="character" w:styleId="ListLabel41" w:customStyle="1">
    <w:name w:val="ListLabel 41"/>
    <w:rPr>
      <w:rFonts w:cs="Courier New"/>
    </w:rPr>
  </w:style>
  <w:style w:type="character" w:styleId="ListLabel42" w:customStyle="1">
    <w:name w:val="ListLabel 42"/>
    <w:rPr>
      <w:rFonts w:cs="Wingdings"/>
    </w:rPr>
  </w:style>
  <w:style w:type="character" w:styleId="ListLabel43" w:customStyle="1">
    <w:name w:val="ListLabel 43"/>
    <w:rPr>
      <w:rFonts w:cs="Symbol"/>
    </w:rPr>
  </w:style>
  <w:style w:type="character" w:styleId="ListLabel44" w:customStyle="1">
    <w:name w:val="ListLabel 44"/>
    <w:rPr>
      <w:rFonts w:cs="Courier New"/>
    </w:rPr>
  </w:style>
  <w:style w:type="character" w:styleId="ListLabel45" w:customStyle="1">
    <w:name w:val="ListLabel 45"/>
    <w:rPr>
      <w:rFonts w:cs="Wingdings"/>
    </w:rPr>
  </w:style>
  <w:style w:type="character" w:styleId="ListLabel46" w:customStyle="1">
    <w:name w:val="ListLabel 46"/>
    <w:rPr>
      <w:rFonts w:cs="Wingdings"/>
      <w:sz w:val="20"/>
    </w:rPr>
  </w:style>
  <w:style w:type="character" w:styleId="ListLabel47" w:customStyle="1">
    <w:name w:val="ListLabel 47"/>
    <w:rPr>
      <w:rFonts w:cs="Wingdings"/>
      <w:sz w:val="20"/>
    </w:rPr>
  </w:style>
  <w:style w:type="character" w:styleId="ListLabel48" w:customStyle="1">
    <w:name w:val="ListLabel 48"/>
    <w:rPr>
      <w:rFonts w:cs="Wingdings"/>
      <w:sz w:val="20"/>
    </w:rPr>
  </w:style>
  <w:style w:type="character" w:styleId="ListLabel49" w:customStyle="1">
    <w:name w:val="ListLabel 49"/>
    <w:rPr>
      <w:rFonts w:cs="Wingdings"/>
      <w:sz w:val="20"/>
    </w:rPr>
  </w:style>
  <w:style w:type="character" w:styleId="ListLabel50" w:customStyle="1">
    <w:name w:val="ListLabel 50"/>
    <w:rPr>
      <w:rFonts w:cs="Wingdings"/>
      <w:sz w:val="20"/>
    </w:rPr>
  </w:style>
  <w:style w:type="character" w:styleId="ListLabel51" w:customStyle="1">
    <w:name w:val="ListLabel 51"/>
    <w:rPr>
      <w:rFonts w:cs="Wingdings"/>
      <w:sz w:val="20"/>
    </w:rPr>
  </w:style>
  <w:style w:type="character" w:styleId="ListLabel52" w:customStyle="1">
    <w:name w:val="ListLabel 52"/>
    <w:rPr>
      <w:rFonts w:cs="Wingdings"/>
      <w:sz w:val="20"/>
    </w:rPr>
  </w:style>
  <w:style w:type="character" w:styleId="ListLabel53" w:customStyle="1">
    <w:name w:val="ListLabel 53"/>
    <w:rPr>
      <w:rFonts w:cs="Wingdings"/>
      <w:sz w:val="20"/>
    </w:rPr>
  </w:style>
  <w:style w:type="character" w:styleId="ListLabel54" w:customStyle="1">
    <w:name w:val="ListLabel 54"/>
    <w:rPr>
      <w:rFonts w:cs="Wingdings"/>
      <w:sz w:val="20"/>
    </w:rPr>
  </w:style>
  <w:style w:type="character" w:styleId="ListLabel55" w:customStyle="1">
    <w:name w:val="ListLabel 55"/>
    <w:rPr>
      <w:rFonts w:cs="Wingdings"/>
      <w:sz w:val="20"/>
    </w:rPr>
  </w:style>
  <w:style w:type="character" w:styleId="ListLabel56" w:customStyle="1">
    <w:name w:val="ListLabel 56"/>
    <w:rPr>
      <w:rFonts w:cs="Wingdings"/>
      <w:sz w:val="20"/>
    </w:rPr>
  </w:style>
  <w:style w:type="character" w:styleId="ListLabel57" w:customStyle="1">
    <w:name w:val="ListLabel 57"/>
    <w:rPr>
      <w:rFonts w:cs="Wingdings"/>
      <w:sz w:val="20"/>
    </w:rPr>
  </w:style>
  <w:style w:type="character" w:styleId="ListLabel58" w:customStyle="1">
    <w:name w:val="ListLabel 58"/>
    <w:rPr>
      <w:rFonts w:cs="Wingdings"/>
      <w:sz w:val="20"/>
    </w:rPr>
  </w:style>
  <w:style w:type="character" w:styleId="ListLabel59" w:customStyle="1">
    <w:name w:val="ListLabel 59"/>
    <w:rPr>
      <w:rFonts w:cs="Wingdings"/>
      <w:sz w:val="20"/>
    </w:rPr>
  </w:style>
  <w:style w:type="character" w:styleId="ListLabel60" w:customStyle="1">
    <w:name w:val="ListLabel 60"/>
    <w:rPr>
      <w:rFonts w:cs="Wingdings"/>
      <w:sz w:val="20"/>
    </w:rPr>
  </w:style>
  <w:style w:type="character" w:styleId="ListLabel61" w:customStyle="1">
    <w:name w:val="ListLabel 61"/>
    <w:rPr>
      <w:rFonts w:cs="Wingdings"/>
      <w:sz w:val="20"/>
    </w:rPr>
  </w:style>
  <w:style w:type="character" w:styleId="ListLabel62" w:customStyle="1">
    <w:name w:val="ListLabel 62"/>
    <w:rPr>
      <w:rFonts w:cs="Wingdings"/>
      <w:sz w:val="20"/>
    </w:rPr>
  </w:style>
  <w:style w:type="character" w:styleId="ListLabel63" w:customStyle="1">
    <w:name w:val="ListLabel 63"/>
    <w:rPr>
      <w:rFonts w:cs="Wingdings"/>
      <w:sz w:val="20"/>
    </w:rPr>
  </w:style>
  <w:style w:type="character" w:styleId="ListLabel64" w:customStyle="1">
    <w:name w:val="ListLabel 64"/>
    <w:rPr>
      <w:rFonts w:cs="Symbol"/>
    </w:rPr>
  </w:style>
  <w:style w:type="character" w:styleId="ListLabel65" w:customStyle="1">
    <w:name w:val="ListLabel 65"/>
    <w:rPr>
      <w:rFonts w:cs="Courier New"/>
    </w:rPr>
  </w:style>
  <w:style w:type="character" w:styleId="ListLabel66" w:customStyle="1">
    <w:name w:val="ListLabel 66"/>
    <w:rPr>
      <w:rFonts w:cs="Wingdings"/>
    </w:rPr>
  </w:style>
  <w:style w:type="character" w:styleId="ListLabel67" w:customStyle="1">
    <w:name w:val="ListLabel 67"/>
    <w:rPr>
      <w:rFonts w:cs="Symbol"/>
    </w:rPr>
  </w:style>
  <w:style w:type="character" w:styleId="ListLabel68" w:customStyle="1">
    <w:name w:val="ListLabel 68"/>
    <w:rPr>
      <w:rFonts w:cs="Courier New"/>
    </w:rPr>
  </w:style>
  <w:style w:type="character" w:styleId="ListLabel69" w:customStyle="1">
    <w:name w:val="ListLabel 69"/>
    <w:rPr>
      <w:rFonts w:cs="Wingdings"/>
    </w:rPr>
  </w:style>
  <w:style w:type="character" w:styleId="ListLabel70" w:customStyle="1">
    <w:name w:val="ListLabel 70"/>
    <w:rPr>
      <w:rFonts w:cs="Symbol"/>
    </w:rPr>
  </w:style>
  <w:style w:type="character" w:styleId="ListLabel71" w:customStyle="1">
    <w:name w:val="ListLabel 71"/>
    <w:rPr>
      <w:rFonts w:cs="Courier New"/>
    </w:rPr>
  </w:style>
  <w:style w:type="character" w:styleId="ListLabel72" w:customStyle="1">
    <w:name w:val="ListLabel 72"/>
    <w:rPr>
      <w:rFonts w:cs="Wingdings"/>
    </w:rPr>
  </w:style>
  <w:style w:type="character" w:styleId="ListLabel73" w:customStyle="1">
    <w:name w:val="ListLabel 73"/>
    <w:rPr>
      <w:rFonts w:cs="Symbol"/>
    </w:rPr>
  </w:style>
  <w:style w:type="character" w:styleId="ListLabel74" w:customStyle="1">
    <w:name w:val="ListLabel 74"/>
    <w:rPr>
      <w:rFonts w:cs="Courier New"/>
    </w:rPr>
  </w:style>
  <w:style w:type="character" w:styleId="ListLabel75" w:customStyle="1">
    <w:name w:val="ListLabel 75"/>
    <w:rPr>
      <w:rFonts w:cs="Wingdings"/>
    </w:rPr>
  </w:style>
  <w:style w:type="character" w:styleId="ListLabel76" w:customStyle="1">
    <w:name w:val="ListLabel 76"/>
    <w:rPr>
      <w:rFonts w:cs="Symbol"/>
    </w:rPr>
  </w:style>
  <w:style w:type="character" w:styleId="ListLabel77" w:customStyle="1">
    <w:name w:val="ListLabel 77"/>
    <w:rPr>
      <w:rFonts w:cs="Courier New"/>
    </w:rPr>
  </w:style>
  <w:style w:type="character" w:styleId="ListLabel78" w:customStyle="1">
    <w:name w:val="ListLabel 78"/>
    <w:rPr>
      <w:rFonts w:cs="Wingdings"/>
    </w:rPr>
  </w:style>
  <w:style w:type="character" w:styleId="ListLabel79" w:customStyle="1">
    <w:name w:val="ListLabel 79"/>
    <w:rPr>
      <w:rFonts w:cs="Symbol"/>
    </w:rPr>
  </w:style>
  <w:style w:type="character" w:styleId="ListLabel80" w:customStyle="1">
    <w:name w:val="ListLabel 80"/>
    <w:rPr>
      <w:rFonts w:cs="Courier New"/>
    </w:rPr>
  </w:style>
  <w:style w:type="character" w:styleId="ListLabel81" w:customStyle="1">
    <w:name w:val="ListLabel 81"/>
    <w:rPr>
      <w:rFonts w:cs="Wingdings"/>
    </w:rPr>
  </w:style>
  <w:style w:type="character" w:styleId="ListLabel82" w:customStyle="1">
    <w:name w:val="ListLabel 82"/>
    <w:rPr>
      <w:rFonts w:cs="Symbol"/>
    </w:rPr>
  </w:style>
  <w:style w:type="character" w:styleId="ListLabel83" w:customStyle="1">
    <w:name w:val="ListLabel 83"/>
    <w:rPr>
      <w:rFonts w:cs="Courier New"/>
    </w:rPr>
  </w:style>
  <w:style w:type="character" w:styleId="ListLabel84" w:customStyle="1">
    <w:name w:val="ListLabel 84"/>
    <w:rPr>
      <w:rFonts w:cs="Wingdings"/>
    </w:rPr>
  </w:style>
  <w:style w:type="character" w:styleId="ListLabel85" w:customStyle="1">
    <w:name w:val="ListLabel 85"/>
    <w:rPr>
      <w:rFonts w:cs="Symbol"/>
    </w:rPr>
  </w:style>
  <w:style w:type="character" w:styleId="ListLabel86" w:customStyle="1">
    <w:name w:val="ListLabel 86"/>
    <w:rPr>
      <w:rFonts w:cs="Courier New"/>
    </w:rPr>
  </w:style>
  <w:style w:type="character" w:styleId="ListLabel87" w:customStyle="1">
    <w:name w:val="ListLabel 87"/>
    <w:rPr>
      <w:rFonts w:cs="Wingdings"/>
    </w:rPr>
  </w:style>
  <w:style w:type="character" w:styleId="ListLabel88" w:customStyle="1">
    <w:name w:val="ListLabel 88"/>
    <w:rPr>
      <w:rFonts w:cs="Symbol"/>
    </w:rPr>
  </w:style>
  <w:style w:type="character" w:styleId="ListLabel89" w:customStyle="1">
    <w:name w:val="ListLabel 89"/>
    <w:rPr>
      <w:rFonts w:cs="Courier New"/>
    </w:rPr>
  </w:style>
  <w:style w:type="character" w:styleId="ListLabel90" w:customStyle="1">
    <w:name w:val="ListLabel 90"/>
    <w:rPr>
      <w:rFonts w:cs="Wingdings"/>
    </w:rPr>
  </w:style>
  <w:style w:type="numbering" w:styleId="NoList1" w:customStyle="1">
    <w:name w:val="No List_1"/>
    <w:basedOn w:val="NoList"/>
  </w:style>
  <w:style w:type="numbering" w:styleId="WWNum1" w:customStyle="1">
    <w:name w:val="WWNum1"/>
    <w:basedOn w:val="NoList"/>
  </w:style>
  <w:style w:type="numbering" w:styleId="WWNum2" w:customStyle="1">
    <w:name w:val="WWNum2"/>
    <w:basedOn w:val="NoList"/>
  </w:style>
  <w:style w:type="numbering" w:styleId="WWNum3" w:customStyle="1">
    <w:name w:val="WWNum3"/>
    <w:basedOn w:val="NoList"/>
  </w:style>
  <w:style w:type="numbering" w:styleId="WWNum4" w:customStyle="1">
    <w:name w:val="WWNum4"/>
    <w:basedOn w:val="NoList"/>
  </w:style>
  <w:style w:type="numbering" w:styleId="WWNum5" w:customStyle="1">
    <w:name w:val="WWNum5"/>
    <w:basedOn w:val="NoList"/>
  </w:style>
  <w:style w:type="numbering" w:styleId="WWNum6" w:customStyle="1">
    <w:name w:val="WWNum6"/>
    <w:basedOn w:val="NoList"/>
  </w:style>
  <w:style w:type="numbering" w:styleId="WWNum7" w:customStyle="1">
    <w:name w:val="WWNum7"/>
    <w:basedOn w:val="NoList"/>
  </w:style>
  <w:style w:type="numbering" w:styleId="WWNum8" w:customStyle="1">
    <w:name w:val="WWNum8"/>
    <w:basedOn w:val="NoList"/>
  </w:style>
  <w:style w:type="numbering" w:styleId="WWNum9" w:customStyle="1">
    <w:name w:val="WWNum9"/>
    <w:basedOn w:val="NoList"/>
  </w:style>
  <w:style w:type="numbering" w:styleId="WWNum10" w:customStyle="1">
    <w:name w:val="WWNum10"/>
    <w:basedOn w:val="NoList"/>
  </w:style>
  <w:style w:type="numbering" w:styleId="WWNum11" w:customStyle="1">
    <w:name w:val="WWNum11"/>
    <w:basedOn w:val="NoList"/>
  </w:style>
  <w:style w:type="numbering" w:styleId="WWNum12" w:customStyle="1">
    <w:name w:val="WWNum12"/>
    <w:basedOn w:val="NoList"/>
  </w:style>
  <w:style w:type="numbering" w:styleId="WWNum13" w:customStyle="1">
    <w:name w:val="WWNum13"/>
    <w:basedOn w:val="NoList"/>
  </w:style>
  <w:style w:type="numbering" w:styleId="WWNum14" w:customStyle="1">
    <w:name w:val="WWNum14"/>
    <w:basedOn w:val="NoList"/>
  </w:style>
  <w:style w:type="numbering" w:styleId="WWNum15" w:customStyle="1">
    <w:name w:val="WWNum15"/>
    <w:basedOn w:val="NoList"/>
  </w:style>
  <w:style w:type="numbering" w:styleId="WWNum16" w:customStyle="1">
    <w:name w:val="WWNum16"/>
    <w:basedOn w:val="NoList"/>
  </w:style>
  <w:style w:type="numbering" w:styleId="WWNum17" w:customStyle="1">
    <w:name w:val="WWNum17"/>
    <w:basedOn w:val="NoList"/>
  </w:style>
  <w:style w:type="numbering" w:styleId="WWNum18" w:customStyle="1">
    <w:name w:val="WWNum18"/>
    <w:basedOn w:val="NoList"/>
  </w:style>
  <w:style w:type="numbering" w:styleId="WWNum19" w:customStyle="1">
    <w:name w:val="WWNum19"/>
    <w:basedOn w:val="NoList"/>
  </w:style>
  <w:style w:type="numbering" w:styleId="WWNum20" w:customStyle="1">
    <w:name w:val="WWNum20"/>
    <w:basedOn w:val="NoList"/>
  </w:style>
  <w:style w:type="numbering" w:styleId="WWNum21" w:customStyle="1">
    <w:name w:val="WWNum21"/>
    <w:basedOn w:val="NoList"/>
  </w:style>
  <w:style w:type="numbering" w:styleId="WWNum22" w:customStyle="1">
    <w:name w:val="WWNum22"/>
    <w:basedOn w:val="NoList"/>
  </w:style>
  <w:style w:type="paragraph" w:styleId="TOC1">
    <w:name w:val="toc 1"/>
    <w:basedOn w:val="Normal"/>
    <w:next w:val="Normal"/>
    <w:link w:val="TOC1Char"/>
    <w:autoRedefine w:val="1"/>
    <w:uiPriority w:val="39"/>
    <w:unhideWhenUsed w:val="1"/>
    <w:rsid w:val="00D71BB5"/>
    <w:pPr>
      <w:tabs>
        <w:tab w:val="clear" w:pos="9360"/>
      </w:tabs>
      <w:spacing w:before="120"/>
    </w:pPr>
    <w:rPr>
      <w:bCs w:val="1"/>
      <w:iCs w:val="1"/>
      <w:sz w:val="24"/>
      <w:szCs w:val="24"/>
    </w:rPr>
  </w:style>
  <w:style w:type="paragraph" w:styleId="TOC2">
    <w:name w:val="toc 2"/>
    <w:basedOn w:val="Normal"/>
    <w:next w:val="Normal"/>
    <w:autoRedefine w:val="1"/>
    <w:uiPriority w:val="39"/>
    <w:unhideWhenUsed w:val="1"/>
    <w:rsid w:val="00C703FF"/>
    <w:pPr>
      <w:tabs>
        <w:tab w:val="clear" w:pos="9360"/>
        <w:tab w:val="right" w:leader="dot" w:pos="9350"/>
      </w:tabs>
      <w:spacing w:before="120"/>
      <w:ind w:left="220"/>
    </w:pPr>
    <w:rPr>
      <w:noProof w:val="1"/>
    </w:rPr>
  </w:style>
  <w:style w:type="paragraph" w:styleId="TOC3">
    <w:name w:val="toc 3"/>
    <w:basedOn w:val="Normal"/>
    <w:next w:val="Normal"/>
    <w:autoRedefine w:val="1"/>
    <w:uiPriority w:val="39"/>
    <w:unhideWhenUsed w:val="1"/>
    <w:rsid w:val="00330A2F"/>
    <w:pPr>
      <w:numPr>
        <w:ilvl w:val="2"/>
        <w:numId w:val="9"/>
      </w:numPr>
      <w:tabs>
        <w:tab w:val="clear" w:pos="9360"/>
        <w:tab w:val="right" w:pos="9350"/>
      </w:tabs>
      <w:spacing w:before="120"/>
    </w:pPr>
    <w:rPr>
      <w:sz w:val="20"/>
      <w:szCs w:val="20"/>
    </w:rPr>
  </w:style>
  <w:style w:type="character" w:styleId="Hyperlink">
    <w:name w:val="Hyperlink"/>
    <w:uiPriority w:val="99"/>
    <w:unhideWhenUsed w:val="1"/>
    <w:rsid w:val="00E05AE5"/>
    <w:rPr>
      <w:color w:val="0563c1"/>
      <w:u w:val="single"/>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6" w:customStyle="1">
    <w:name w:val="6"/>
    <w:basedOn w:val="TableNormal"/>
    <w:tblPr>
      <w:tblStyleRowBandSize w:val="1"/>
      <w:tblStyleColBandSize w:val="1"/>
      <w:tblCellMar>
        <w:left w:w="10.0" w:type="dxa"/>
        <w:right w:w="10.0" w:type="dxa"/>
      </w:tblCellMar>
    </w:tblPr>
  </w:style>
  <w:style w:type="table" w:styleId="5" w:customStyle="1">
    <w:name w:val="5"/>
    <w:basedOn w:val="TableNormal"/>
    <w:tblPr>
      <w:tblStyleRowBandSize w:val="1"/>
      <w:tblStyleColBandSize w:val="1"/>
      <w:tblCellMar>
        <w:left w:w="10.0" w:type="dxa"/>
        <w:right w:w="10.0" w:type="dxa"/>
      </w:tblCellMar>
    </w:tblPr>
  </w:style>
  <w:style w:type="table" w:styleId="4" w:customStyle="1">
    <w:name w:val="4"/>
    <w:basedOn w:val="TableNormal"/>
    <w:tblPr>
      <w:tblStyleRowBandSize w:val="1"/>
      <w:tblStyleColBandSize w:val="1"/>
      <w:tblCellMar>
        <w:left w:w="10.0" w:type="dxa"/>
        <w:right w:w="10.0" w:type="dxa"/>
      </w:tblCellMar>
    </w:tblPr>
  </w:style>
  <w:style w:type="table" w:styleId="3" w:customStyle="1">
    <w:name w:val="3"/>
    <w:basedOn w:val="TableNormal"/>
    <w:tblPr>
      <w:tblStyleRowBandSize w:val="1"/>
      <w:tblStyleColBandSize w:val="1"/>
      <w:tblCellMar>
        <w:left w:w="10.0" w:type="dxa"/>
        <w:right w:w="10.0" w:type="dxa"/>
      </w:tblCellMar>
    </w:tblPr>
  </w:style>
  <w:style w:type="table" w:styleId="2" w:customStyle="1">
    <w:name w:val="2"/>
    <w:basedOn w:val="TableNormal"/>
    <w:tblPr>
      <w:tblStyleRowBandSize w:val="1"/>
      <w:tblStyleColBandSize w:val="1"/>
      <w:tblCellMar>
        <w:left w:w="10.0" w:type="dxa"/>
        <w:right w:w="10.0" w:type="dxa"/>
      </w:tblCellMar>
    </w:tblPr>
  </w:style>
  <w:style w:type="table" w:styleId="1" w:customStyle="1">
    <w:name w:val="1"/>
    <w:basedOn w:val="TableNormal"/>
    <w:tblPr>
      <w:tblStyleRowBandSize w:val="1"/>
      <w:tblStyleColBandSize w:val="1"/>
      <w:tblCellMar>
        <w:left w:w="10.0" w:type="dxa"/>
        <w:right w:w="10.0" w:type="dxa"/>
      </w:tblCellMar>
    </w:tblPr>
  </w:style>
  <w:style w:type="character" w:styleId="UnresolvedMention3" w:customStyle="1">
    <w:name w:val="Unresolved Mention3"/>
    <w:basedOn w:val="DefaultParagraphFont"/>
    <w:uiPriority w:val="99"/>
    <w:semiHidden w:val="1"/>
    <w:unhideWhenUsed w:val="1"/>
    <w:rsid w:val="00A55306"/>
    <w:rPr>
      <w:color w:val="605e5c"/>
      <w:shd w:color="auto" w:fill="e1dfdd" w:val="clear"/>
    </w:rPr>
  </w:style>
  <w:style w:type="character" w:styleId="FollowedHyperlink">
    <w:name w:val="FollowedHyperlink"/>
    <w:basedOn w:val="DefaultParagraphFont"/>
    <w:uiPriority w:val="99"/>
    <w:semiHidden w:val="1"/>
    <w:unhideWhenUsed w:val="1"/>
    <w:rsid w:val="00A55306"/>
    <w:rPr>
      <w:color w:val="b9d181" w:themeColor="followedHyperlink"/>
      <w:u w:val="single"/>
    </w:rPr>
  </w:style>
  <w:style w:type="paragraph" w:styleId="TOC4">
    <w:name w:val="toc 4"/>
    <w:basedOn w:val="Normal"/>
    <w:next w:val="Normal"/>
    <w:autoRedefine w:val="1"/>
    <w:uiPriority w:val="39"/>
    <w:semiHidden w:val="1"/>
    <w:unhideWhenUsed w:val="1"/>
    <w:rsid w:val="00882AE6"/>
    <w:pPr>
      <w:tabs>
        <w:tab w:val="clear" w:pos="9360"/>
      </w:tabs>
      <w:spacing w:before="0"/>
      <w:ind w:left="660"/>
    </w:pPr>
    <w:rPr>
      <w:sz w:val="20"/>
      <w:szCs w:val="20"/>
    </w:rPr>
  </w:style>
  <w:style w:type="paragraph" w:styleId="TOC5">
    <w:name w:val="toc 5"/>
    <w:basedOn w:val="Normal"/>
    <w:next w:val="Normal"/>
    <w:autoRedefine w:val="1"/>
    <w:uiPriority w:val="39"/>
    <w:semiHidden w:val="1"/>
    <w:unhideWhenUsed w:val="1"/>
    <w:rsid w:val="00882AE6"/>
    <w:pPr>
      <w:tabs>
        <w:tab w:val="clear" w:pos="9360"/>
      </w:tabs>
      <w:spacing w:before="0"/>
      <w:ind w:left="880"/>
    </w:pPr>
    <w:rPr>
      <w:sz w:val="20"/>
      <w:szCs w:val="20"/>
    </w:rPr>
  </w:style>
  <w:style w:type="paragraph" w:styleId="TOC6">
    <w:name w:val="toc 6"/>
    <w:basedOn w:val="Normal"/>
    <w:next w:val="Normal"/>
    <w:autoRedefine w:val="1"/>
    <w:uiPriority w:val="39"/>
    <w:semiHidden w:val="1"/>
    <w:unhideWhenUsed w:val="1"/>
    <w:rsid w:val="00882AE6"/>
    <w:pPr>
      <w:tabs>
        <w:tab w:val="clear" w:pos="9360"/>
      </w:tabs>
      <w:spacing w:before="0"/>
      <w:ind w:left="1100"/>
    </w:pPr>
    <w:rPr>
      <w:sz w:val="20"/>
      <w:szCs w:val="20"/>
    </w:rPr>
  </w:style>
  <w:style w:type="paragraph" w:styleId="TOC7">
    <w:name w:val="toc 7"/>
    <w:basedOn w:val="Normal"/>
    <w:next w:val="Normal"/>
    <w:autoRedefine w:val="1"/>
    <w:uiPriority w:val="39"/>
    <w:semiHidden w:val="1"/>
    <w:unhideWhenUsed w:val="1"/>
    <w:rsid w:val="00882AE6"/>
    <w:pPr>
      <w:tabs>
        <w:tab w:val="clear" w:pos="9360"/>
      </w:tabs>
      <w:spacing w:before="0"/>
      <w:ind w:left="1320"/>
    </w:pPr>
    <w:rPr>
      <w:sz w:val="20"/>
      <w:szCs w:val="20"/>
    </w:rPr>
  </w:style>
  <w:style w:type="paragraph" w:styleId="TOC8">
    <w:name w:val="toc 8"/>
    <w:basedOn w:val="Normal"/>
    <w:next w:val="Normal"/>
    <w:autoRedefine w:val="1"/>
    <w:uiPriority w:val="39"/>
    <w:semiHidden w:val="1"/>
    <w:unhideWhenUsed w:val="1"/>
    <w:rsid w:val="00882AE6"/>
    <w:pPr>
      <w:tabs>
        <w:tab w:val="clear" w:pos="9360"/>
      </w:tabs>
      <w:spacing w:before="0"/>
      <w:ind w:left="1540"/>
    </w:pPr>
    <w:rPr>
      <w:sz w:val="20"/>
      <w:szCs w:val="20"/>
    </w:rPr>
  </w:style>
  <w:style w:type="paragraph" w:styleId="TOC9">
    <w:name w:val="toc 9"/>
    <w:basedOn w:val="Normal"/>
    <w:next w:val="Normal"/>
    <w:autoRedefine w:val="1"/>
    <w:uiPriority w:val="39"/>
    <w:semiHidden w:val="1"/>
    <w:unhideWhenUsed w:val="1"/>
    <w:rsid w:val="00882AE6"/>
    <w:pPr>
      <w:tabs>
        <w:tab w:val="clear" w:pos="9360"/>
      </w:tabs>
      <w:spacing w:before="0"/>
      <w:ind w:left="1760"/>
    </w:pPr>
    <w:rPr>
      <w:sz w:val="20"/>
      <w:szCs w:val="20"/>
    </w:rPr>
  </w:style>
  <w:style w:type="character" w:styleId="UnresolvedMention4" w:customStyle="1">
    <w:name w:val="Unresolved Mention4"/>
    <w:basedOn w:val="DefaultParagraphFont"/>
    <w:uiPriority w:val="99"/>
    <w:semiHidden w:val="1"/>
    <w:unhideWhenUsed w:val="1"/>
    <w:rsid w:val="009139DD"/>
    <w:rPr>
      <w:color w:val="605e5c"/>
      <w:shd w:color="auto" w:fill="e1dfdd" w:val="clear"/>
    </w:rPr>
  </w:style>
  <w:style w:type="table" w:styleId="TableGrid">
    <w:name w:val="Table Grid"/>
    <w:basedOn w:val="TableNormal"/>
    <w:uiPriority w:val="39"/>
    <w:rsid w:val="00FE2CD0"/>
    <w:pPr>
      <w:spacing w:before="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dTable4-Accent1">
    <w:name w:val="Grid Table 4 Accent 1"/>
    <w:basedOn w:val="TableNormal"/>
    <w:uiPriority w:val="49"/>
    <w:rsid w:val="00FE2CD0"/>
    <w:tblPr>
      <w:tblStyleRowBandSize w:val="1"/>
      <w:tblStyleColBandSize w:val="1"/>
      <w:tblBorders>
        <w:top w:color="8ee46c" w:space="0" w:sz="4" w:themeColor="accent1" w:themeTint="000099" w:val="single"/>
        <w:left w:color="8ee46c" w:space="0" w:sz="4" w:themeColor="accent1" w:themeTint="000099" w:val="single"/>
        <w:bottom w:color="8ee46c" w:space="0" w:sz="4" w:themeColor="accent1" w:themeTint="000099" w:val="single"/>
        <w:right w:color="8ee46c" w:space="0" w:sz="4" w:themeColor="accent1" w:themeTint="000099" w:val="single"/>
        <w:insideH w:color="8ee46c" w:space="0" w:sz="4" w:themeColor="accent1" w:themeTint="000099" w:val="single"/>
        <w:insideV w:color="8ee46c" w:space="0" w:sz="4" w:themeColor="accent1" w:themeTint="000099" w:val="single"/>
      </w:tblBorders>
    </w:tblPr>
    <w:tblStylePr w:type="firstRow">
      <w:rPr>
        <w:b w:val="1"/>
        <w:bCs w:val="1"/>
        <w:color w:val="ffffff" w:themeColor="background1"/>
      </w:rPr>
      <w:tblPr/>
      <w:tcPr>
        <w:tcBorders>
          <w:top w:color="4ebc22" w:space="0" w:sz="4" w:themeColor="accent1" w:val="single"/>
          <w:left w:color="4ebc22" w:space="0" w:sz="4" w:themeColor="accent1" w:val="single"/>
          <w:bottom w:color="4ebc22" w:space="0" w:sz="4" w:themeColor="accent1" w:val="single"/>
          <w:right w:color="4ebc22" w:space="0" w:sz="4" w:themeColor="accent1" w:val="single"/>
          <w:insideH w:space="0" w:sz="0" w:val="nil"/>
          <w:insideV w:space="0" w:sz="0" w:val="nil"/>
        </w:tcBorders>
        <w:shd w:color="auto" w:fill="4ebc22" w:themeFill="accent1" w:val="clear"/>
      </w:tcPr>
    </w:tblStylePr>
    <w:tblStylePr w:type="lastRow">
      <w:rPr>
        <w:b w:val="1"/>
        <w:bCs w:val="1"/>
      </w:rPr>
      <w:tblPr/>
      <w:tcPr>
        <w:tcBorders>
          <w:top w:color="4ebc22" w:space="0" w:sz="4" w:themeColor="accent1" w:val="double"/>
        </w:tcBorders>
      </w:tcPr>
    </w:tblStylePr>
    <w:tblStylePr w:type="firstCol">
      <w:rPr>
        <w:b w:val="1"/>
        <w:bCs w:val="1"/>
      </w:rPr>
    </w:tblStylePr>
    <w:tblStylePr w:type="lastCol">
      <w:rPr>
        <w:b w:val="1"/>
        <w:bCs w:val="1"/>
      </w:rPr>
    </w:tblStylePr>
    <w:tblStylePr w:type="band1Vert">
      <w:tblPr/>
      <w:tcPr>
        <w:shd w:color="auto" w:fill="d9f6ce" w:themeFill="accent1" w:themeFillTint="000033" w:val="clear"/>
      </w:tcPr>
    </w:tblStylePr>
    <w:tblStylePr w:type="band1Horz">
      <w:tblPr/>
      <w:tcPr>
        <w:shd w:color="auto" w:fill="d9f6ce" w:themeFill="accent1" w:themeFillTint="000033" w:val="clear"/>
      </w:tcPr>
    </w:tblStylePr>
  </w:style>
  <w:style w:type="table" w:styleId="GridTable1Light-Accent1">
    <w:name w:val="Grid Table 1 Light Accent 1"/>
    <w:basedOn w:val="TableNormal"/>
    <w:uiPriority w:val="46"/>
    <w:rsid w:val="006B321C"/>
    <w:tblPr>
      <w:tblStyleRowBandSize w:val="1"/>
      <w:tblStyleColBandSize w:val="1"/>
      <w:tblBorders>
        <w:top w:color="b3ed9d" w:space="0" w:sz="4" w:themeColor="accent1" w:themeTint="000066" w:val="single"/>
        <w:left w:color="b3ed9d" w:space="0" w:sz="4" w:themeColor="accent1" w:themeTint="000066" w:val="single"/>
        <w:bottom w:color="b3ed9d" w:space="0" w:sz="4" w:themeColor="accent1" w:themeTint="000066" w:val="single"/>
        <w:right w:color="b3ed9d" w:space="0" w:sz="4" w:themeColor="accent1" w:themeTint="000066" w:val="single"/>
        <w:insideH w:color="b3ed9d" w:space="0" w:sz="4" w:themeColor="accent1" w:themeTint="000066" w:val="single"/>
        <w:insideV w:color="b3ed9d" w:space="0" w:sz="4" w:themeColor="accent1" w:themeTint="000066" w:val="single"/>
      </w:tblBorders>
    </w:tblPr>
    <w:tblStylePr w:type="firstRow">
      <w:rPr>
        <w:b w:val="1"/>
        <w:bCs w:val="1"/>
      </w:rPr>
      <w:tblPr/>
      <w:tcPr>
        <w:tcBorders>
          <w:bottom w:color="8ee46c" w:space="0" w:sz="12" w:themeColor="accent1" w:themeTint="000099" w:val="single"/>
        </w:tcBorders>
      </w:tcPr>
    </w:tblStylePr>
    <w:tblStylePr w:type="lastRow">
      <w:rPr>
        <w:b w:val="1"/>
        <w:bCs w:val="1"/>
      </w:rPr>
      <w:tblPr/>
      <w:tcPr>
        <w:tcBorders>
          <w:top w:color="8ee46c" w:space="0" w:sz="2" w:themeColor="accent1" w:themeTint="000099" w:val="double"/>
        </w:tcBorders>
      </w:tcPr>
    </w:tblStylePr>
    <w:tblStylePr w:type="firstCol">
      <w:rPr>
        <w:b w:val="1"/>
        <w:bCs w:val="1"/>
      </w:rPr>
    </w:tblStylePr>
    <w:tblStylePr w:type="lastCol">
      <w:rPr>
        <w:b w:val="1"/>
        <w:bCs w:val="1"/>
      </w:rPr>
    </w:tblStylePr>
  </w:style>
  <w:style w:type="table" w:styleId="GridTable2-Accent5">
    <w:name w:val="Grid Table 2 Accent 5"/>
    <w:basedOn w:val="TableNormal"/>
    <w:uiPriority w:val="47"/>
    <w:rsid w:val="006B321C"/>
    <w:tblPr>
      <w:tblStyleRowBandSize w:val="1"/>
      <w:tblStyleColBandSize w:val="1"/>
      <w:tblBorders>
        <w:top w:color="a6e0ac" w:space="0" w:sz="2" w:themeColor="accent5" w:themeTint="000099" w:val="single"/>
        <w:bottom w:color="a6e0ac" w:space="0" w:sz="2" w:themeColor="accent5" w:themeTint="000099" w:val="single"/>
        <w:insideH w:color="a6e0ac" w:space="0" w:sz="2" w:themeColor="accent5" w:themeTint="000099" w:val="single"/>
        <w:insideV w:color="a6e0ac" w:space="0" w:sz="2" w:themeColor="accent5" w:themeTint="000099" w:val="single"/>
      </w:tblBorders>
    </w:tblPr>
    <w:tblStylePr w:type="firstRow">
      <w:rPr>
        <w:b w:val="1"/>
        <w:bCs w:val="1"/>
      </w:rPr>
      <w:tblPr/>
      <w:tcPr>
        <w:tcBorders>
          <w:top w:space="0" w:sz="0" w:val="nil"/>
          <w:bottom w:color="a6e0ac" w:space="0" w:sz="12" w:themeColor="accent5" w:themeTint="000099" w:val="single"/>
          <w:insideH w:space="0" w:sz="0" w:val="nil"/>
          <w:insideV w:space="0" w:sz="0" w:val="nil"/>
        </w:tcBorders>
        <w:shd w:color="auto" w:fill="ffffff" w:themeFill="background1" w:val="clear"/>
      </w:tcPr>
    </w:tblStylePr>
    <w:tblStylePr w:type="lastRow">
      <w:rPr>
        <w:b w:val="1"/>
        <w:bCs w:val="1"/>
      </w:rPr>
      <w:tblPr/>
      <w:tcPr>
        <w:tcBorders>
          <w:top w:color="a6e0ac" w:space="0" w:sz="2" w:themeColor="accent5"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e1f4e3" w:themeFill="accent5" w:themeFillTint="000033" w:val="clear"/>
      </w:tcPr>
    </w:tblStylePr>
    <w:tblStylePr w:type="band1Horz">
      <w:tblPr/>
      <w:tcPr>
        <w:shd w:color="auto" w:fill="e1f4e3" w:themeFill="accent5" w:themeFillTint="000033" w:val="clear"/>
      </w:tcPr>
    </w:tblStylePr>
  </w:style>
  <w:style w:type="character" w:styleId="UnresolvedMention5" w:customStyle="1">
    <w:name w:val="Unresolved Mention5"/>
    <w:basedOn w:val="DefaultParagraphFont"/>
    <w:uiPriority w:val="99"/>
    <w:semiHidden w:val="1"/>
    <w:unhideWhenUsed w:val="1"/>
    <w:rsid w:val="00645D98"/>
    <w:rPr>
      <w:color w:val="605e5c"/>
      <w:shd w:color="auto" w:fill="e1dfdd" w:val="clear"/>
    </w:rPr>
  </w:style>
  <w:style w:type="character" w:styleId="UnresolvedMention6" w:customStyle="1">
    <w:name w:val="Unresolved Mention6"/>
    <w:basedOn w:val="DefaultParagraphFont"/>
    <w:uiPriority w:val="99"/>
    <w:semiHidden w:val="1"/>
    <w:unhideWhenUsed w:val="1"/>
    <w:rsid w:val="00E0422C"/>
    <w:rPr>
      <w:color w:val="605e5c"/>
      <w:shd w:color="auto" w:fill="e1dfdd" w:val="clear"/>
    </w:rPr>
  </w:style>
  <w:style w:type="table" w:styleId="a"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0"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1"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2"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3"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4"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5"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6"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7"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8"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9"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a"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b" w:customStyle="1">
    <w:basedOn w:val="TableNormal"/>
    <w:tblPr>
      <w:tblStyleRowBandSize w:val="1"/>
      <w:tblStyleColBandSize w:val="1"/>
      <w:tblCellMar>
        <w:top w:w="100.0" w:type="dxa"/>
        <w:left w:w="100.0" w:type="dxa"/>
        <w:bottom w:w="100.0" w:type="dxa"/>
        <w:right w:w="100.0" w:type="dxa"/>
      </w:tblCellMar>
    </w:tblPr>
  </w:style>
  <w:style w:type="character" w:styleId="BookTitle">
    <w:name w:val="Book Title"/>
    <w:basedOn w:val="DefaultParagraphFont"/>
    <w:uiPriority w:val="33"/>
    <w:qFormat w:val="1"/>
    <w:rsid w:val="00CB526A"/>
    <w:rPr>
      <w:rFonts w:asciiTheme="majorHAnsi" w:hAnsiTheme="majorHAnsi"/>
      <w:bCs w:val="1"/>
      <w:color w:val="4ebc22" w:themeColor="accent1"/>
      <w:sz w:val="64"/>
      <w:szCs w:val="200"/>
      <w14:shadow w14:blurRad="38100" w14:sx="100000" w14:algn="ctr" w14:dir="5400000" w14:dist="25400" w14:sy="100000">
        <w14:srgbClr w14:val="6E747A">
          <w14:alpha w14:val="57000"/>
        </w14:srgbClr>
      </w14:shadow>
      <w14:textOutline w14:cap="flat" w14:cmpd="sng" w14:algn="ctr">
        <w14:noFill/>
        <w14:prstDash w14:val="solid"/>
        <w14:round/>
      </w14:textOutline>
    </w:rPr>
  </w:style>
  <w:style w:type="paragraph" w:styleId="BookSub-Title" w:customStyle="1">
    <w:name w:val="Book Sub-Title"/>
    <w:basedOn w:val="Normal"/>
    <w:link w:val="BookSub-TitleChar"/>
    <w:qFormat w:val="1"/>
    <w:rsid w:val="00593D99"/>
    <w:pPr>
      <w:jc w:val="center"/>
    </w:pPr>
    <w:rPr>
      <w:rFonts w:asciiTheme="majorHAnsi" w:hAnsiTheme="majorHAnsi"/>
      <w:spacing w:val="20"/>
      <w:sz w:val="34"/>
      <w:szCs w:val="34"/>
    </w:rPr>
  </w:style>
  <w:style w:type="character" w:styleId="BookSub-TitleChar" w:customStyle="1">
    <w:name w:val="Book Sub-Title Char"/>
    <w:basedOn w:val="DefaultParagraphFont"/>
    <w:link w:val="BookSub-Title"/>
    <w:rsid w:val="00593D99"/>
    <w:rPr>
      <w:rFonts w:asciiTheme="majorHAnsi" w:hAnsiTheme="majorHAnsi"/>
      <w:spacing w:val="20"/>
      <w:sz w:val="34"/>
      <w:szCs w:val="34"/>
    </w:rPr>
  </w:style>
  <w:style w:type="paragraph" w:styleId="TOCH1" w:customStyle="1">
    <w:name w:val="TOC H1"/>
    <w:basedOn w:val="TOC1"/>
    <w:link w:val="TOCH1Char"/>
    <w:qFormat w:val="1"/>
    <w:rsid w:val="000B0F52"/>
    <w:pPr>
      <w:tabs>
        <w:tab w:val="right" w:pos="9350"/>
      </w:tabs>
    </w:pPr>
    <w:rPr>
      <w:b w:val="1"/>
      <w:szCs w:val="28"/>
    </w:rPr>
  </w:style>
  <w:style w:type="character" w:styleId="TOC1Char" w:customStyle="1">
    <w:name w:val="TOC 1 Char"/>
    <w:basedOn w:val="DefaultParagraphFont"/>
    <w:link w:val="TOC1"/>
    <w:uiPriority w:val="39"/>
    <w:rsid w:val="000B0F52"/>
    <w:rPr>
      <w:rFonts w:asciiTheme="minorHAnsi" w:hAnsiTheme="minorHAnsi"/>
      <w:bCs w:val="1"/>
      <w:iCs w:val="1"/>
      <w:sz w:val="24"/>
      <w:szCs w:val="24"/>
    </w:rPr>
  </w:style>
  <w:style w:type="character" w:styleId="TOCH1Char" w:customStyle="1">
    <w:name w:val="TOC H1 Char"/>
    <w:basedOn w:val="TOC1Char"/>
    <w:link w:val="TOCH1"/>
    <w:rsid w:val="000B0F52"/>
    <w:rPr>
      <w:rFonts w:asciiTheme="minorHAnsi" w:hAnsiTheme="minorHAnsi"/>
      <w:b w:val="1"/>
      <w:bCs w:val="1"/>
      <w:iCs w:val="1"/>
      <w:sz w:val="24"/>
      <w:szCs w:val="28"/>
    </w:rPr>
  </w:style>
  <w:style w:type="character" w:styleId="SubtleEmphasis">
    <w:name w:val="Subtle Emphasis"/>
    <w:basedOn w:val="DefaultParagraphFont"/>
    <w:uiPriority w:val="19"/>
    <w:qFormat w:val="1"/>
    <w:rsid w:val="00294350"/>
    <w:rPr>
      <w:i w:val="1"/>
      <w:iCs w:val="1"/>
      <w:color w:val="404040" w:themeColor="text1" w:themeTint="0000BF"/>
    </w:rPr>
  </w:style>
  <w:style w:type="paragraph" w:styleId="PAGENO" w:customStyle="1">
    <w:name w:val="PAGE NO."/>
    <w:basedOn w:val="Normal"/>
    <w:link w:val="PAGENOChar"/>
    <w:qFormat w:val="1"/>
    <w:rsid w:val="0042003F"/>
    <w:pPr>
      <w:ind w:left="2160"/>
      <w:jc w:val="right"/>
    </w:pPr>
    <w:rPr>
      <w:spacing w:val="20"/>
    </w:rPr>
  </w:style>
  <w:style w:type="character" w:styleId="PAGENOChar" w:customStyle="1">
    <w:name w:val="PAGE NO. Char"/>
    <w:basedOn w:val="DefaultParagraphFont"/>
    <w:link w:val="PAGENO"/>
    <w:rsid w:val="0042003F"/>
    <w:rPr>
      <w:rFonts w:asciiTheme="minorHAnsi" w:cstheme="minorHAnsi" w:hAnsiTheme="minorHAnsi"/>
      <w:spacing w:val="20"/>
    </w:rPr>
  </w:style>
  <w:style w:type="table" w:styleId="GridTable4-Accent2">
    <w:name w:val="Grid Table 4 Accent 2"/>
    <w:basedOn w:val="TableNormal"/>
    <w:uiPriority w:val="49"/>
    <w:rsid w:val="00CB4AE8"/>
    <w:tblPr>
      <w:tblStyleRowBandSize w:val="1"/>
      <w:tblStyleColBandSize w:val="1"/>
      <w:tblBorders>
        <w:top w:color="c1f9ac" w:space="0" w:sz="4" w:themeColor="accent2" w:themeTint="000099" w:val="single"/>
        <w:left w:color="c1f9ac" w:space="0" w:sz="4" w:themeColor="accent2" w:themeTint="000099" w:val="single"/>
        <w:bottom w:color="c1f9ac" w:space="0" w:sz="4" w:themeColor="accent2" w:themeTint="000099" w:val="single"/>
        <w:right w:color="c1f9ac" w:space="0" w:sz="4" w:themeColor="accent2" w:themeTint="000099" w:val="single"/>
        <w:insideH w:color="c1f9ac" w:space="0" w:sz="4" w:themeColor="accent2" w:themeTint="000099" w:val="single"/>
        <w:insideV w:color="c1f9ac" w:space="0" w:sz="4" w:themeColor="accent2" w:themeTint="000099" w:val="single"/>
      </w:tblBorders>
    </w:tblPr>
    <w:tblStylePr w:type="firstRow">
      <w:rPr>
        <w:b w:val="1"/>
        <w:bCs w:val="1"/>
        <w:color w:val="ffffff" w:themeColor="background1"/>
      </w:rPr>
      <w:tblPr/>
      <w:tcPr>
        <w:tcBorders>
          <w:top w:color="98f576" w:space="0" w:sz="4" w:themeColor="accent2" w:val="single"/>
          <w:left w:color="98f576" w:space="0" w:sz="4" w:themeColor="accent2" w:val="single"/>
          <w:bottom w:color="98f576" w:space="0" w:sz="4" w:themeColor="accent2" w:val="single"/>
          <w:right w:color="98f576" w:space="0" w:sz="4" w:themeColor="accent2" w:val="single"/>
          <w:insideH w:space="0" w:sz="0" w:val="nil"/>
          <w:insideV w:space="0" w:sz="0" w:val="nil"/>
        </w:tcBorders>
        <w:shd w:color="auto" w:fill="98f576" w:themeFill="accent2" w:val="clear"/>
      </w:tcPr>
    </w:tblStylePr>
    <w:tblStylePr w:type="lastRow">
      <w:rPr>
        <w:b w:val="1"/>
        <w:bCs w:val="1"/>
      </w:rPr>
      <w:tblPr/>
      <w:tcPr>
        <w:tcBorders>
          <w:top w:color="98f576" w:space="0" w:sz="4" w:themeColor="accent2" w:val="double"/>
        </w:tcBorders>
      </w:tcPr>
    </w:tblStylePr>
    <w:tblStylePr w:type="firstCol">
      <w:rPr>
        <w:b w:val="1"/>
        <w:bCs w:val="1"/>
      </w:rPr>
    </w:tblStylePr>
    <w:tblStylePr w:type="lastCol">
      <w:rPr>
        <w:b w:val="1"/>
        <w:bCs w:val="1"/>
      </w:rPr>
    </w:tblStylePr>
    <w:tblStylePr w:type="band1Vert">
      <w:tblPr/>
      <w:tcPr>
        <w:shd w:color="auto" w:fill="eafde3" w:themeFill="accent2" w:themeFillTint="000033" w:val="clear"/>
      </w:tcPr>
    </w:tblStylePr>
    <w:tblStylePr w:type="band1Horz">
      <w:tblPr/>
      <w:tcPr>
        <w:shd w:color="auto" w:fill="eafde3" w:themeFill="accent2" w:themeFillTint="000033" w:val="clear"/>
      </w:tcPr>
    </w:tblStylePr>
  </w:style>
  <w:style w:type="table" w:styleId="GridTable5Dark-Accent1">
    <w:name w:val="Grid Table 5 Dark Accent 1"/>
    <w:basedOn w:val="TableNormal"/>
    <w:uiPriority w:val="50"/>
    <w:rsid w:val="00CB4AE8"/>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9f6ce"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4ebc22"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4ebc22"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4ebc22"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4ebc22" w:themeFill="accent1" w:val="clear"/>
      </w:tcPr>
    </w:tblStylePr>
    <w:tblStylePr w:type="band1Vert">
      <w:tblPr/>
      <w:tcPr>
        <w:shd w:color="auto" w:fill="b3ed9d" w:themeFill="accent1" w:themeFillTint="000066" w:val="clear"/>
      </w:tcPr>
    </w:tblStylePr>
    <w:tblStylePr w:type="band1Horz">
      <w:tblPr/>
      <w:tcPr>
        <w:shd w:color="auto" w:fill="b3ed9d" w:themeFill="accent1" w:themeFillTint="000066" w:val="clear"/>
      </w:tcPr>
    </w:tblStylePr>
  </w:style>
  <w:style w:type="character" w:styleId="UnresolvedMention">
    <w:name w:val="Unresolved Mention"/>
    <w:basedOn w:val="DefaultParagraphFont"/>
    <w:uiPriority w:val="99"/>
    <w:semiHidden w:val="1"/>
    <w:unhideWhenUsed w:val="1"/>
    <w:rsid w:val="00F974EE"/>
    <w:rPr>
      <w:color w:val="605e5c"/>
      <w:shd w:color="auto" w:fill="e1dfdd" w:val="clear"/>
    </w:rPr>
  </w:style>
  <w:style w:type="table" w:styleId="GridTable5Dark-Accent2">
    <w:name w:val="Grid Table 5 Dark Accent 2"/>
    <w:basedOn w:val="TableNormal"/>
    <w:uiPriority w:val="50"/>
    <w:rsid w:val="006547D1"/>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afde3" w:themeFill="accent2"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98f576" w:themeFill="accent2"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98f576" w:themeFill="accent2"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98f576" w:themeFill="accent2"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98f576" w:themeFill="accent2" w:val="clear"/>
      </w:tcPr>
    </w:tblStylePr>
    <w:tblStylePr w:type="band1Vert">
      <w:tblPr/>
      <w:tcPr>
        <w:shd w:color="auto" w:fill="d5fbc8" w:themeFill="accent2" w:themeFillTint="000066" w:val="clear"/>
      </w:tcPr>
    </w:tblStylePr>
    <w:tblStylePr w:type="band1Horz">
      <w:tblPr/>
      <w:tcPr>
        <w:shd w:color="auto" w:fill="d5fbc8" w:themeFill="accent2" w:themeFillTint="000066" w:val="clear"/>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8">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6">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xx.com/redirect?url=http://evil.com" TargetMode="External"/><Relationship Id="rId22" Type="http://schemas.openxmlformats.org/officeDocument/2006/relationships/hyperlink" Target="https://cheatsheetseries.owasp.org/cheatsheets/Unvalidated_Redirects_and_Forwards_Cheat_Sheet.html" TargetMode="External"/><Relationship Id="rId21" Type="http://schemas.openxmlformats.org/officeDocument/2006/relationships/image" Target="media/image10.png"/><Relationship Id="rId24" Type="http://schemas.openxmlformats.org/officeDocument/2006/relationships/image" Target="media/image1.jpg"/><Relationship Id="rId23" Type="http://schemas.openxmlformats.org/officeDocument/2006/relationships/hyperlink" Target="https://portswigger.net/kb/issues/00500100_open-redirection-reflec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st.com/user/password/reset" TargetMode="External"/><Relationship Id="rId26" Type="http://schemas.openxmlformats.org/officeDocument/2006/relationships/image" Target="media/image9.png"/><Relationship Id="rId25" Type="http://schemas.openxmlformats.org/officeDocument/2006/relationships/hyperlink" Target="https://trusted.com" TargetMode="External"/><Relationship Id="rId28" Type="http://schemas.openxmlformats.org/officeDocument/2006/relationships/hyperlink" Target="https://dev.to/luwadev/handling-browser-storage-cookies-local-storage-session-storage-33h9#:~:text=Sensitive%20data%20stored%20in%20session,or%20compromises%20the%20browser%20session" TargetMode="External"/><Relationship Id="rId27" Type="http://schemas.openxmlformats.org/officeDocument/2006/relationships/hyperlink" Target="https://cheatsheetseries.owasp.org/cheatsheets/Session_Management_Cheat_Sheet.html"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image" Target="media/image12.png"/><Relationship Id="rId8" Type="http://schemas.openxmlformats.org/officeDocument/2006/relationships/image" Target="media/image2.png"/><Relationship Id="rId31" Type="http://schemas.openxmlformats.org/officeDocument/2006/relationships/header" Target="header3.xml"/><Relationship Id="rId30" Type="http://schemas.openxmlformats.org/officeDocument/2006/relationships/header" Target="header2.xml"/><Relationship Id="rId11" Type="http://schemas.openxmlformats.org/officeDocument/2006/relationships/image" Target="media/image8.png"/><Relationship Id="rId33" Type="http://schemas.openxmlformats.org/officeDocument/2006/relationships/footer" Target="footer2.xml"/><Relationship Id="rId10" Type="http://schemas.openxmlformats.org/officeDocument/2006/relationships/image" Target="media/image3.png"/><Relationship Id="rId32" Type="http://schemas.openxmlformats.org/officeDocument/2006/relationships/footer" Target="footer1.xml"/><Relationship Id="rId13" Type="http://schemas.openxmlformats.org/officeDocument/2006/relationships/hyperlink" Target="https://portswigger.net/web-security/access-control#how-to-prevent-access-control-vulnerabilities" TargetMode="External"/><Relationship Id="rId12" Type="http://schemas.openxmlformats.org/officeDocument/2006/relationships/image" Target="media/image6.png"/><Relationship Id="rId34" Type="http://schemas.openxmlformats.org/officeDocument/2006/relationships/footer" Target="footer3.xml"/><Relationship Id="rId15" Type="http://schemas.openxmlformats.org/officeDocument/2006/relationships/hyperlink" Target="https://test.com/user/password/reset" TargetMode="External"/><Relationship Id="rId14" Type="http://schemas.openxmlformats.org/officeDocument/2006/relationships/hyperlink" Target="https://www.acunetix.com/blog/web-security-zone/what-is-privilege-escalation/" TargetMode="External"/><Relationship Id="rId17" Type="http://schemas.openxmlformats.org/officeDocument/2006/relationships/image" Target="media/image5.png"/><Relationship Id="rId16" Type="http://schemas.openxmlformats.org/officeDocument/2006/relationships/image" Target="media/image11.png"/><Relationship Id="rId19" Type="http://schemas.openxmlformats.org/officeDocument/2006/relationships/hyperlink" Target="https://owasp.org/www-project-web-security-testing-guide/v42/4-Web_Application_Security_Testing/07-Input_Validation_Testing/17-Testing_for_Host_Header_Injection" TargetMode="External"/><Relationship Id="rId18" Type="http://schemas.openxmlformats.org/officeDocument/2006/relationships/hyperlink" Target="https://owasp.org/www-project-web-security-testing-guide/latest/4-Web_Application_Security_Testing/07-Input_Validation_Testing/17-Testing_for_Host_Header_Injection" TargetMode="External"/><Relationship Id="rIdRiskMatrixImage" Type="http://schemas.openxmlformats.org/officeDocument/2006/relationships/image" Target="media/riskmatrix.jpeg"/>
</Relationships>
</file>

<file path=word/_rels/fontTable.xml.rels><?xml version="1.0" encoding="UTF-8" standalone="yes"?><Relationships xmlns="http://schemas.openxmlformats.org/package/2006/relationships"><Relationship Id="rId1" Type="http://schemas.openxmlformats.org/officeDocument/2006/relationships/font" Target="fonts/RobotoBlack-bold.ttf"/><Relationship Id="rId2" Type="http://schemas.openxmlformats.org/officeDocument/2006/relationships/font" Target="fonts/RobotoBlack-boldItalic.ttf"/><Relationship Id="rId3" Type="http://schemas.openxmlformats.org/officeDocument/2006/relationships/font" Target="fonts/Roboto-regular.ttf"/><Relationship Id="rId4" Type="http://schemas.openxmlformats.org/officeDocument/2006/relationships/font" Target="fonts/Roboto-bold.ttf"/><Relationship Id="rId11" Type="http://schemas.openxmlformats.org/officeDocument/2006/relationships/font" Target="fonts/NotoSansSymbols-regular.ttf"/><Relationship Id="rId10" Type="http://schemas.openxmlformats.org/officeDocument/2006/relationships/font" Target="fonts/RobotoMedium-boldItalic.ttf"/><Relationship Id="rId12" Type="http://schemas.openxmlformats.org/officeDocument/2006/relationships/font" Target="fonts/NotoSansSymbols-bold.ttf"/><Relationship Id="rId9" Type="http://schemas.openxmlformats.org/officeDocument/2006/relationships/font" Target="fonts/RobotoMedium-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RobotoMedium-regular.ttf"/><Relationship Id="rId8" Type="http://schemas.openxmlformats.org/officeDocument/2006/relationships/font" Target="fonts/RobotoMedium-bold.ttf"/></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Securify">
      <a:dk1>
        <a:sysClr val="windowText" lastClr="000000"/>
      </a:dk1>
      <a:lt1>
        <a:sysClr val="window" lastClr="FFFFFF"/>
      </a:lt1>
      <a:dk2>
        <a:srgbClr val="2C3C43"/>
      </a:dk2>
      <a:lt2>
        <a:srgbClr val="EBEBEB"/>
      </a:lt2>
      <a:accent1>
        <a:srgbClr val="4EBC22"/>
      </a:accent1>
      <a:accent2>
        <a:srgbClr val="98F576"/>
      </a:accent2>
      <a:accent3>
        <a:srgbClr val="0F0F0F"/>
      </a:accent3>
      <a:accent4>
        <a:srgbClr val="98F576"/>
      </a:accent4>
      <a:accent5>
        <a:srgbClr val="6CCC76"/>
      </a:accent5>
      <a:accent6>
        <a:srgbClr val="0F0F0F"/>
      </a:accent6>
      <a:hlink>
        <a:srgbClr val="99CA3C"/>
      </a:hlink>
      <a:folHlink>
        <a:srgbClr val="B9D181"/>
      </a:folHlink>
    </a:clrScheme>
    <a:fontScheme name="ROBOTO">
      <a:majorFont>
        <a:latin typeface="Roboto Black"/>
        <a:ea typeface=""/>
        <a:cs typeface=""/>
      </a:majorFont>
      <a:minorFont>
        <a:latin typeface="Robo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i91HXiV40e22K6kQQE5DChgUpA==">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2024-05-26T07:15:00Z</dcterms:created>
  <dc:creator>Dawood 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0x010100FD604C3B73AE9943B737720A48E3AF7C</vt:lpwstr>
  </property>
  <property fmtid="{D5CDD505-2E9C-101B-9397-08002B2CF9AE}" pid="4" name="DocSecurity">
    <vt:lpwstr>0.0</vt:lpwstr>
  </property>
  <property fmtid="{D5CDD505-2E9C-101B-9397-08002B2CF9AE}" pid="5" name="HyperlinksChanged">
    <vt:lpwstr>false</vt:lpwstr>
  </property>
  <property fmtid="{D5CDD505-2E9C-101B-9397-08002B2CF9AE}" pid="6" name="LinksUpToDate">
    <vt:lpwstr>false</vt:lpwstr>
  </property>
  <property fmtid="{D5CDD505-2E9C-101B-9397-08002B2CF9AE}" pid="7" name="ScaleCrop">
    <vt:lpwstr>false</vt:lpwstr>
  </property>
  <property fmtid="{D5CDD505-2E9C-101B-9397-08002B2CF9AE}" pid="8" name="ShareDoc">
    <vt:lpwstr>false</vt:lpwstr>
  </property>
  <property fmtid="{D5CDD505-2E9C-101B-9397-08002B2CF9AE}" pid="9" name="MSIP_Label_7bc792f8-6d75-423a-9981-629281829092_Enabled">
    <vt:lpwstr>True</vt:lpwstr>
  </property>
  <property fmtid="{D5CDD505-2E9C-101B-9397-08002B2CF9AE}" pid="10" name="MSIP_Label_7bc792f8-6d75-423a-9981-629281829092_SiteId">
    <vt:lpwstr>3ded2960-214a-46ff-8cf4-611f125e2398</vt:lpwstr>
  </property>
  <property fmtid="{D5CDD505-2E9C-101B-9397-08002B2CF9AE}" pid="11" name="MSIP_Label_7bc792f8-6d75-423a-9981-629281829092_Owner">
    <vt:lpwstr>Satya.Shrikanth@LloydsBanking.com</vt:lpwstr>
  </property>
  <property fmtid="{D5CDD505-2E9C-101B-9397-08002B2CF9AE}" pid="12" name="MSIP_Label_7bc792f8-6d75-423a-9981-629281829092_SetDate">
    <vt:lpwstr>2020-07-03T11:52:38.0519895Z</vt:lpwstr>
  </property>
  <property fmtid="{D5CDD505-2E9C-101B-9397-08002B2CF9AE}" pid="13" name="MSIP_Label_7bc792f8-6d75-423a-9981-629281829092_Name">
    <vt:lpwstr>Limited</vt:lpwstr>
  </property>
  <property fmtid="{D5CDD505-2E9C-101B-9397-08002B2CF9AE}" pid="14" name="MSIP_Label_7bc792f8-6d75-423a-9981-629281829092_Application">
    <vt:lpwstr>Microsoft Azure Information Protection</vt:lpwstr>
  </property>
  <property fmtid="{D5CDD505-2E9C-101B-9397-08002B2CF9AE}" pid="15" name="MSIP_Label_7bc792f8-6d75-423a-9981-629281829092_ActionId">
    <vt:lpwstr>50252a51-2ef9-4340-a0d9-8f189c0f857e</vt:lpwstr>
  </property>
  <property fmtid="{D5CDD505-2E9C-101B-9397-08002B2CF9AE}" pid="16" name="MSIP_Label_7bc792f8-6d75-423a-9981-629281829092_Extended_MSFT_Method">
    <vt:lpwstr>Manual</vt:lpwstr>
  </property>
  <property fmtid="{D5CDD505-2E9C-101B-9397-08002B2CF9AE}" pid="17" name="MSIP_Label_b9a70571-31c6-4603-80c1-ef2fb871a62a_Enabled">
    <vt:lpwstr>True</vt:lpwstr>
  </property>
  <property fmtid="{D5CDD505-2E9C-101B-9397-08002B2CF9AE}" pid="18" name="MSIP_Label_b9a70571-31c6-4603-80c1-ef2fb871a62a_SiteId">
    <vt:lpwstr>258ac4e4-146a-411e-9dc8-79a9e12fd6da</vt:lpwstr>
  </property>
  <property fmtid="{D5CDD505-2E9C-101B-9397-08002B2CF9AE}" pid="19" name="MSIP_Label_b9a70571-31c6-4603-80c1-ef2fb871a62a_Owner">
    <vt:lpwstr>TU20040423@wipro.com</vt:lpwstr>
  </property>
  <property fmtid="{D5CDD505-2E9C-101B-9397-08002B2CF9AE}" pid="20" name="MSIP_Label_b9a70571-31c6-4603-80c1-ef2fb871a62a_SetDate">
    <vt:lpwstr>2020-05-31T18:49:28.1599838Z</vt:lpwstr>
  </property>
  <property fmtid="{D5CDD505-2E9C-101B-9397-08002B2CF9AE}" pid="21" name="MSIP_Label_b9a70571-31c6-4603-80c1-ef2fb871a62a_Name">
    <vt:lpwstr>Internal and Restricted</vt:lpwstr>
  </property>
  <property fmtid="{D5CDD505-2E9C-101B-9397-08002B2CF9AE}" pid="22" name="MSIP_Label_b9a70571-31c6-4603-80c1-ef2fb871a62a_Application">
    <vt:lpwstr>Microsoft Azure Information Protection</vt:lpwstr>
  </property>
  <property fmtid="{D5CDD505-2E9C-101B-9397-08002B2CF9AE}" pid="23" name="MSIP_Label_b9a70571-31c6-4603-80c1-ef2fb871a62a_ActionId">
    <vt:lpwstr>56d92ea6-5057-412a-9433-92ead05ecc61</vt:lpwstr>
  </property>
  <property fmtid="{D5CDD505-2E9C-101B-9397-08002B2CF9AE}" pid="24" name="MSIP_Label_b9a70571-31c6-4603-80c1-ef2fb871a62a_Extended_MSFT_Method">
    <vt:lpwstr>Automatic</vt:lpwstr>
  </property>
  <property fmtid="{D5CDD505-2E9C-101B-9397-08002B2CF9AE}" pid="25" name="GrammarlyDocumentId">
    <vt:lpwstr>b25244bfa81683be8b655022c77c90991e2a74fa90533d4a483665eb00836840</vt:lpwstr>
  </property>
  <property fmtid="{D5CDD505-2E9C-101B-9397-08002B2CF9AE}" pid="26" name="MSIP_Label_defa4170-0d19-0005-0004-bc88714345d2_Enabled">
    <vt:lpwstr>true</vt:lpwstr>
  </property>
  <property fmtid="{D5CDD505-2E9C-101B-9397-08002B2CF9AE}" pid="27" name="MSIP_Label_defa4170-0d19-0005-0004-bc88714345d2_SetDate">
    <vt:lpwstr>2024-05-13T19:03:33Z</vt:lpwstr>
  </property>
  <property fmtid="{D5CDD505-2E9C-101B-9397-08002B2CF9AE}" pid="28" name="MSIP_Label_defa4170-0d19-0005-0004-bc88714345d2_Method">
    <vt:lpwstr>Standard</vt:lpwstr>
  </property>
  <property fmtid="{D5CDD505-2E9C-101B-9397-08002B2CF9AE}" pid="29" name="MSIP_Label_defa4170-0d19-0005-0004-bc88714345d2_Name">
    <vt:lpwstr>defa4170-0d19-0005-0004-bc88714345d2</vt:lpwstr>
  </property>
  <property fmtid="{D5CDD505-2E9C-101B-9397-08002B2CF9AE}" pid="30" name="MSIP_Label_defa4170-0d19-0005-0004-bc88714345d2_SiteId">
    <vt:lpwstr>3c4b8c96-a848-4ee1-b2c2-a9c3c9f4be1c</vt:lpwstr>
  </property>
  <property fmtid="{D5CDD505-2E9C-101B-9397-08002B2CF9AE}" pid="31" name="MSIP_Label_defa4170-0d19-0005-0004-bc88714345d2_ActionId">
    <vt:lpwstr>c2f59c78-9fab-4717-b2ba-7037b13e54bd</vt:lpwstr>
  </property>
  <property fmtid="{D5CDD505-2E9C-101B-9397-08002B2CF9AE}" pid="32" name="MSIP_Label_defa4170-0d19-0005-0004-bc88714345d2_ContentBits">
    <vt:lpwstr>0</vt:lpwstr>
  </property>
</Properties>
</file>