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ANAlyst,reviewrer</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Web Application &amp; API Penetration Test Report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06,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Client Name.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ANAlyst,reviewrer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Determine the overall security posture of the application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Provide a list of key findings and recommendations for remediation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Document the assessment scope, risk evaluation, and final outcomes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Support remediation planning with actionable technical detail</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Information Gathering - The application was reviewed as an anonymous, authenticated, and privileged user to understand differences in access and behavior.</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Authentication Testing - Authentication mechanisms were evaluated to determine the strength of login controls, password policies, and account recovery processes.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Authorization Testing - Tests were conducted to identify weaknesses in access control, including attempts to access other users' data or privileged functionality.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Session Management - Session handling was assessed to ensure secure creation, storage, and invalidation of session tokens.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Input Validation Attacks - User-controlled input fields were tested with malformed and malicious data to identify injection flaws and logic bypasses.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Business Logic Testing - The application workflows were reviewed to identify opportunities to misuse or bypass intended processes.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Start Date and End Date. The re-assessment was conducted between  Start Date and End Date.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http://test.com</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http://admin.test.com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Customer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Authenticated customer user</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Privileged administrative user</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ANAlyst,reviewrer’s Web Application &amp;amp;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ANAlyst,reviewrer’s Web Application &amp;amp;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ageBreakBefore w:val="1"/>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 Security posture can change over time as the application, infrastructure, integrations, and threat landscape evolve.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 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Matrix</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Impact x Likelihood</w:t>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2C94C"/>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D61F1F"/>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2F80ED"/>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r>
    </w:tbl>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w:t>
      </w:r>
      <w:r w:rsidDel="00000000" w:rsidR="00000000" w:rsidRPr="00000000">
        <w:rPr>
          <w:rtl w:val="0"/>
        </w:rPr>
        <w:t xml:space="preserve">When most/all factors indicate limited consequences (e.g., non-sensitive data, no ability to alter/delete key data, and low victim count).</w:t>
      </w:r>
    </w:p>
    <w:p w:rsidR="00000000" w:rsidDel="00000000" w:rsidP="00000000" w:rsidRDefault="00000000" w:rsidRPr="00000000" w14:paraId="00000098">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Impact:</w:t>
      </w:r>
      <w:r w:rsidDel="00000000" w:rsidR="00000000" w:rsidRPr="00000000">
        <w:rPr>
          <w:rtl w:val="0"/>
        </w:rPr>
        <w:t xml:space="preserve"> When about half of the factors suggest higher damage and half point to limited effects.</w:t>
      </w:r>
    </w:p>
    <w:p w:rsidR="00000000" w:rsidDel="00000000" w:rsidP="00000000" w:rsidRDefault="00000000" w:rsidRPr="00000000" w14:paraId="00000099">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w:t>
      </w:r>
      <w:r w:rsidDel="00000000" w:rsidR="00000000" w:rsidRPr="00000000">
        <w:rPr>
          <w:rtl w:val="0"/>
        </w:rPr>
        <w:t xml:space="preserve"> When most/all factors highlight significant damage (e.g., sensitive data loss, wide data corruption, and a large number of victims).</w:t>
      </w:r>
    </w:p>
    <w:p w:rsidR="00000000" w:rsidDel="00000000" w:rsidP="00000000" w:rsidRDefault="00000000" w:rsidRPr="00000000" w14:paraId="0000009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Likelihood: </w:t>
      </w:r>
      <w:r w:rsidDel="00000000" w:rsidR="00000000" w:rsidRPr="00000000">
        <w:rPr>
          <w:rtl w:val="0"/>
        </w:rPr>
        <w:t xml:space="preserve">Most/all factors suggest significant barriers to exploitation (e.g., complex skillset, limited attackers, high cost, or complex delivery).</w:t>
      </w:r>
    </w:p>
    <w:p w:rsidR="00000000" w:rsidDel="00000000" w:rsidP="00000000" w:rsidRDefault="00000000" w:rsidRPr="00000000" w14:paraId="000000AF">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Likelihood: </w:t>
      </w:r>
      <w:r w:rsidDel="00000000" w:rsidR="00000000" w:rsidRPr="00000000">
        <w:rPr>
          <w:rtl w:val="0"/>
        </w:rPr>
        <w:t xml:space="preserve">About half the factors indicate ease of exploitation, while the other half show barriers.</w:t>
      </w:r>
    </w:p>
    <w:p w:rsidR="00000000" w:rsidDel="00000000" w:rsidP="00000000" w:rsidRDefault="00000000" w:rsidRPr="00000000" w14:paraId="000000B0">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Likelihood:</w:t>
      </w:r>
      <w:r w:rsidDel="00000000" w:rsidR="00000000" w:rsidRPr="00000000">
        <w:rPr>
          <w:rtl w:val="0"/>
        </w:rPr>
        <w:t xml:space="preserve"> Most/all factors point to easy and accessible exploitation (e.g., basic skills, low cost, and simple attack mechanisms).</w:t>
      </w:r>
    </w:p>
    <w:p w:rsidR="00000000" w:rsidDel="00000000" w:rsidP="00000000" w:rsidRDefault="00000000" w:rsidRPr="00000000" w14:paraId="000000B1">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firstLine="0"/>
        <w:rPr/>
      </w:pPr>
      <w:r w:rsidDel="00000000" w:rsidR="00000000" w:rsidRPr="00000000">
        <w:rPr>
          <w:rtl w:val="0"/>
        </w:rPr>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3">
      <w:pPr>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 Low Likelihood =</w:t>
      </w:r>
      <w:r w:rsidDel="00000000" w:rsidR="00000000" w:rsidRPr="00000000">
        <w:rPr>
          <w:rtl w:val="0"/>
        </w:rPr>
        <w:t xml:space="preserve"> Low Risk</w:t>
      </w:r>
    </w:p>
    <w:p w:rsidR="00000000" w:rsidDel="00000000" w:rsidP="00000000" w:rsidRDefault="00000000" w:rsidRPr="00000000" w14:paraId="000000C6">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 + High Likelihood =</w:t>
      </w:r>
      <w:r w:rsidDel="00000000" w:rsidR="00000000" w:rsidRPr="00000000">
        <w:rPr>
          <w:rtl w:val="0"/>
        </w:rPr>
        <w:t xml:space="preserve"> Critical Risk</w:t>
      </w:r>
    </w:p>
    <w:p w:rsidR="00000000" w:rsidDel="00000000" w:rsidP="00000000" w:rsidRDefault="00000000" w:rsidRPr="00000000" w14:paraId="000000C7">
      <w:pPr>
        <w:tabs>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8">
      <w:pPr>
        <w:widowControl w:val="1"/>
        <w:spacing w:after="120" w:line="240" w:lineRule="auto"/>
        <w:ind w:left="288" w:right="288" w:firstLine="0"/>
        <w:jc w:val="left"/>
        <w:rPr/>
      </w:pPr>
      <w:r w:rsidDel="00000000" w:rsidR="00000000" w:rsidRPr="00000000">
        <w:rPr>
          <w:rFonts w:ascii="Verdana" w:cs="Verdana" w:eastAsia="Verdana" w:hAnsi="Verdana"/>
        </w:rPr>
        <w:drawing>
          <wp:inline distB="114300" distT="114300" distL="114300" distR="114300">
            <wp:extent cx="5372100" cy="4114800"/>
            <wp:effectExtent b="0" l="0" r="0" t="0"/>
            <wp:docPr id="18236594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2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 </w:t>
      </w:r>
    </w:p>
    <w:p w:rsidR="00000000" w:rsidDel="00000000" w:rsidP="00000000" w:rsidRDefault="00000000" w:rsidRPr="00000000" w14:paraId="000000CE">
      <w:pPr>
        <w:spacing w:before="69" w:line="240" w:lineRule="auto"/>
        <w:jc w:val="left"/>
        <w:rPr>
          <w:rFonts w:ascii="Calibri" w:cs="Calibri" w:eastAsia="Calibri" w:hAnsi="Calibri"/>
          <w:sz w:val="20"/>
          <w:szCs w:val="20"/>
        </w:rPr>
      </w:pPr>
      <w:r w:rsidDel="00000000" w:rsidR="00000000" w:rsidRPr="00000000">
        <w:rPr>
          <w:rtl w:val="0"/>
        </w:rPr>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Information Disclosure via Unreferenced Endpoint Exposes Sensitive Bidding Data</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0F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C">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D">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F">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Information Disclosure via Unreferenced Endpoint Exposes Sensitive Bidding Data</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High</w:t>
      </w:r>
      <w:r w:rsidDel="00000000" w:rsidR="00000000" w:rsidRPr="00000000">
        <w:rPr>
          <w:b w:val="1"/>
          <w:bCs w:val="1"/>
          <w:color w:val="cc0000"/>
          <w:rtl w:val="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An internal endpoint, 'exportbids.php', within the seller portal is accessible to authenticated sellers and exposes sensitive bidding data. This endpoint is not referenced or linked within the user interface, but it can be discovered through common enumeration techniques. Upon accessing this endpoint, authenticated sellers are able to retrieve maximum bid values set by other bidders during live auctions, which should remain confidential to maintain fair bidding practices.</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https://www.alpha.auctionninja.com/portal/exportbids.php?pid=1910204&amp;backto=items&amp;backid=257</w:t>
      </w:r>
      <w:r w:rsidDel="00000000" w:rsidR="00000000" w:rsidRPr="00000000">
        <w:rPr>
          <w:rtl w:val="0"/>
          <w:color w:val="000000"/>
        </w:rPr>
        <w:t xml:space="preserve"/>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impact of this vulnerability is high as it leads to the unauthorized disclosure of confidential maximum bid values. This information is critical for maintaining the integrity and fairness of live auctions. Exposure of such data could allow malicious or opportunistic sellers to gain an unfair advantage, manipulate bidding strategies, or undermine the trust of participants in the auction platform, potentially leading to financial losses or reputational damage.</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likelihood of exploitation is high because the endpoint, although unreferenced in the UI, can be easily discovered by any authenticated seller through educated guessing or common endpoint enumeration techniques. No specific authorization beyond being an authenticated seller appears to be required to access the sensitive data, making it readily available to a broad range of users.</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1: Log in to the seller portal as an authenticated seller.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2: Construct a URL to access the 'exportbids.php' endpoint, for example: `https://www.alpha.auctionninja.com/portal/exportbids.php?pid=1910204&amp;backto=items&amp;backid=257`.</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3: Navigate to the constructed URL in the browser.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4: Observe that the response contains sensitive maximum bid values for the specified auction, which should not be accessible to sellers.</w:t>
      </w:r>
      <w:r w:rsidDel="00000000" w:rsidR="00000000" w:rsidRPr="00000000">
        <w:rPr>
          <w:rtl w:val="0"/>
          <w:color w:val="000000"/>
        </w:rPr>
        <w:t xml:space="preserve"/>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Access Control: Implement robust server-side access control checks for the 'exportbids.php' endpoint to ensure that only authorized personnel with a legitimate business need can access this sensitive information. This should include verifying the user's role and specific permissions beyond mere authentication.</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Endpoint Management: Conduct a comprehensive review of all internal and unreferenced endpoints to identify and secure any other potential information disclosure vulnerabilities. Ensure that endpoints not intended for general user access are properly protected or removed.</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Information Disclosure: Ensure that sensitive data, such as maximum bid values, is never exposed to unauthorized users. Redesign the data retrieval process to only provide information relevant and appropriate for the requesting user's role and context.</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https://cwe.mitre.org/data/definitions/200.html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p w:rsidR="00000000" w:rsidDel="00000000" w:rsidP="00000000" w:rsidRDefault="00000000" w:rsidRPr="00000000" w14:paraId="000002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