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latest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12,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 Determinations of appropriate corrective action(s) are the responsibility of the entity receiving the report. This report and/or any other materials furnished by SecurifyAI in connection with this engagement is confidential and may not be duplicated, modified or otherwise reproduced and distributed without the express prior written consent of SecurifyAI or Nitin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This report presents the agreed scope, methodology, risk measurement model, summarized findings, and detailed technical observations for the selected assessment window.</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client environment using a combination of manual testing, guided analysis, and targeted verification of identified attack paths.</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Testing focused on authentication, authorization, business logic, session management, input handling, information disclosure, and transport-layer protections.</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Where appropriate, the assessment also included abuse-case validation, access-control bypass attempts, forced browsing, parameter tampering, and endpoint enumeration.</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12, 2026 and May 20, 2026. 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bdbngngnf</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dnsndndn stn</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nbfdsnntsntn</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ntnfstntnnfnf</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nfsnmfsftgfbb</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nhfdbdfbnjkfnvjnfdnv</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bdfvdhviuhreiv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vbsdviuhrgvirjg</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Suite Professional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Primary proxy and web security testing suite</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Host and service discovery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Command-line HTTP request validation</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r>
        <w:rPr>
          <w:color w:val="000000"/>
        </w:rPr>
        <w:br/>
      </w: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This assessment was performed within the agreed timebox and only against systems explicitly included in scope. Absence of identified vulnerabilities should not be interpreted as a guarantee that no issues remain.</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Risk is determined by evaluating the combined effect of impact and likelihood for each issue identified during testing.</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matrix below is used as the standard model for determining overall severity.</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Items categorized as zero-risk or informational are included where useful for context but should not be treated as exploitable vulnerabilities. These entries may still be valuable for hardening, visibility, or long-term security maturity planning.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Unauthenticated Access to Sensitive Auction Bid Information</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live auction product ID, auction ID, and user ID (if applicable) for a target item.</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GET request to the vulnerable endpoint, for example: `https://www.alpha.auctionninja.com/auctionninjademo/readbidvalue_product_257.php?pid=&lt;product-id&gt;&amp;auctionid=&lt;auction-id&gt;&amp;uid=&lt;user-id&gt;&amp;ItemNo=&lt;lot number&gt;`.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the request without any authentication headers or session cookies.</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the response, which will contain sensitive bidding information, including the current bid value and potentially the maximum bid value placed by a bidder.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w:t>
      </w:r>
      <w:r>
        <w:rPr>
          <w:color w:val="000000"/>
        </w:rPr>
        <w:t xml:space="preserve"> Implement robust authentication mechanisms for all API endpoints that handle or expose sensitive information. Ensure that only authenticated and authorized users can access bid details.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Authorization:</w:t>
      </w:r>
      <w:r>
        <w:rPr>
          <w:color w:val="000000"/>
        </w:rPr>
        <w:t xml:space="preserve"> Enforce strict authorization checks to ensure that users can only access bid information relevant to their own account or items they are authorized to view. Implement role-based access control (RBAC) where appropriate.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API Design:</w:t>
      </w:r>
      <w:r>
        <w:rPr>
          <w:color w:val="000000"/>
        </w:rPr>
        <w:t xml:space="preserve"> Review and redesign API endpoints to ensure that sensitive data is not exposed without proper security controls. Avoid relying solely on client-side parameter manipulation for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input parameters to prevent manipulation attempts and ensure that only expected values are processed by the application logic.</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