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All India Political Parties Meet </w:t>
      </w:r>
    </w:p>
    <w:p w:rsidR="00000000" w:rsidDel="00000000" w:rsidP="00000000" w:rsidRDefault="00000000" w:rsidRPr="00000000" w14:paraId="00000002">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11/04/2025-12/04/2025</w:t>
      </w:r>
    </w:p>
    <w:p w:rsidR="00000000" w:rsidDel="00000000" w:rsidP="00000000" w:rsidRDefault="00000000" w:rsidRPr="00000000" w14:paraId="00000004">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Members Present - </w:t>
      </w:r>
      <w:r w:rsidDel="00000000" w:rsidR="00000000" w:rsidRPr="00000000">
        <w:rPr>
          <w:rFonts w:ascii="Times New Roman" w:cs="Times New Roman" w:eastAsia="Times New Roman" w:hAnsi="Times New Roman"/>
          <w:sz w:val="24"/>
          <w:szCs w:val="24"/>
          <w:rtl w:val="0"/>
        </w:rPr>
        <w:t xml:space="preserve">Pinaki Misra, Smriti Irani, M. Thambidurai, Lallan Singh, Priyanka Chaturvedi, Supriya Sule, Akhilesh Yadav, Kanimozhi Karunanidhi, Raghav Chadha, Shashi Tharoor, Jayant Chaudary, N.K.Prechandran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 - Regulation of Broadcast and Media with special emphasis on the spread of misinformation in areas with Communal Violence.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AIPPM successfully underscored the critical need for regulation without suppression. The committee reaffirmed that the press is a pillar of democracy, but its unregulated power in sensitive situations could threaten societal harmony. The deliberations marked a progressive step toward fostering a responsible media ecosystem that supports truth and communal peace.</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AIPPM convened to deliberate upon the urgent issue of media regulation in the context of increasing incidents of communal violence, often exacerbated by the unregulated dissemination of misinformation. The committee recognized the dual responsibility of preserving press freedom while ensuring national harmony and public safety.</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India has witnessed a concerning surge in the spread of misinformation through broadcast, digital, and social media platforms. These disinformation campaigns have significantly contributed to tensions in regions already prone to communal discord. Several incidents—including those in Northeast Delhi (2020), Manipur (2023), and more localized flare-ups—have illustrated how unchecked media narratives can fuel violence and deepen communal divides.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Discussions:</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had discussed the agenda by recognising speeches in the form of Opening Statemnets by all members present, followed by 2 Open Debates and one Moderated Caucus.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key discussion points are: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Freedom of Press vs. Responsible Reporting:</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emphasized the constitutional sanctity of the freedom of press.</w:t>
      </w:r>
    </w:p>
    <w:p w:rsidR="00000000" w:rsidDel="00000000" w:rsidP="00000000" w:rsidRDefault="00000000" w:rsidRPr="00000000" w14:paraId="0000002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consensus emerged on the need for a legal and ethical balance between free expression and responsible journalism.</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Accountability of Media Houses:</w:t>
      </w:r>
    </w:p>
    <w:p w:rsidR="00000000" w:rsidDel="00000000" w:rsidP="00000000" w:rsidRDefault="00000000" w:rsidRPr="00000000" w14:paraId="0000002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delegates flagged instances of biased or incendiary reporting.</w:t>
      </w:r>
    </w:p>
    <w:p w:rsidR="00000000" w:rsidDel="00000000" w:rsidP="00000000" w:rsidRDefault="00000000" w:rsidRPr="00000000" w14:paraId="0000002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Proposals were made for stricter oversight mechanisms over private news channels and digital influencers.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Fake News and Social Media:</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underlined the alarming rate at which fake news spreads via platforms like WhatsApp, Facebook, and YouTube.</w:t>
      </w:r>
    </w:p>
    <w:p w:rsidR="00000000" w:rsidDel="00000000" w:rsidP="00000000" w:rsidRDefault="00000000" w:rsidRPr="00000000" w14:paraId="0000002A">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Suggestions included collaboration with tech companies for AI-driven content flagging and origin tracing.</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Role of Government and Statutory Bodies: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some delegates supported the empowerment of bodies like the Press Council of India and setting up a Media Accountability Commission, others cautioned against potential state overreach.</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Impact in Communal Conflict Zones:</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was unanimously acknowledged that misinformation has a disproportionately volatile impact in conflict-sensitive areas.</w:t>
      </w:r>
    </w:p>
    <w:p w:rsidR="00000000" w:rsidDel="00000000" w:rsidP="00000000" w:rsidRDefault="00000000" w:rsidRPr="00000000" w14:paraId="0000003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members recommended immediate response protocols for media blackouts or fact-checking interventions during such crises.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Recommendations:</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Strengthening Fact-Checking Infrastructure  - Establishment of a National Fact Verification Agency in collaboration with private tech and media bodies.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Amendments to Media Ethics Guidelines - Updating the Cable Television Networks (Regulation) Act and Information Technology Rules to include stronger penalties for deliberate misinformation.</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Real-Time Monitoring Mechanism - A centralized system for real-time tracking of viral content with potential communal impact.</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Empowering Regional Administration- Giving District Magistrates limited powers to issue temporary broadcast holds or internet suspensions in extreme cases of communal tension.</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Awareness Campaigns - Nationwide digital literacy and misinformation awareness programs, especially in vulnerable districts.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Cross-Party Media Oversight Panel -Constitution of a multi-party parliamentary panel to oversee media regulation frameworks and ensure transparency.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4PZRXTmQ2hZy0VDvAnGfWY2KKg==">CgMxLjA4AHIhMUV6ejkwd0huRFdYZ0FLWUhmc3BDMGpjWnlDaER4MVJN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