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64" w:lineRule="auto"/>
        <w:jc w:val="center"/>
      </w:pPr>
      <w:r>
        <w:rPr>
          <w:rFonts w:ascii="Times New Roman" w:hAnsi="Times New Roman"/>
          <w:b w:val="0"/>
          <w:sz w:val="48"/>
        </w:rPr>
        <w:t>SkipQ: A Real-Time Geofenced Micro-Ordering and Queue Mitigation System for Campus Canteens</w:t>
      </w:r>
    </w:p>
    <w:tbl>
      <w:tblPr>
        <w:tblW w:type="auto" w:w="0"/>
        <w:jc w:val="center"/>
        <w:tblLayout w:type="fixed"/>
        <w:tblLook w:firstColumn="1" w:firstRow="1" w:lastColumn="0" w:lastRow="0" w:noHBand="0" w:noVBand="1" w:val="04A0"/>
      </w:tblPr>
      <w:tblGrid>
        <w:gridCol w:w="3298"/>
        <w:gridCol w:w="3298"/>
        <w:gridCol w:w="3298"/>
      </w:tblGrid>
      <w:tr>
        <w:tc>
          <w:tcPr>
            <w:tcW w:type="dxa" w:w="3298"/>
          </w:tcPr>
          <w:p>
            <w:pPr>
              <w:spacing w:before="0" w:after="40" w:line="252" w:lineRule="auto"/>
              <w:jc w:val="center"/>
            </w:pPr>
            <w:r>
              <w:rPr>
                <w:rFonts w:ascii="Times New Roman" w:hAnsi="Times New Roman"/>
                <w:b w:val="0"/>
                <w:sz w:val="24"/>
              </w:rPr>
              <w:t>Satyam Patel</w:t>
              <w:br/>
            </w:r>
            <w:r>
              <w:rPr>
                <w:rFonts w:ascii="Times New Roman" w:hAnsi="Times New Roman"/>
                <w:i/>
                <w:sz w:val="20"/>
              </w:rPr>
              <w:t>Dept. of Computer Engineering</w:t>
              <w:br/>
            </w:r>
            <w:r>
              <w:rPr>
                <w:rFonts w:ascii="Times New Roman" w:hAnsi="Times New Roman"/>
                <w:i/>
                <w:sz w:val="20"/>
              </w:rPr>
              <w:t>Silver Oak University</w:t>
              <w:br/>
            </w:r>
            <w:r>
              <w:rPr>
                <w:rFonts w:ascii="Times New Roman" w:hAnsi="Times New Roman"/>
                <w:i/>
                <w:sz w:val="20"/>
              </w:rPr>
              <w:t>Ahmedabad, Gujarat, India</w:t>
              <w:br/>
            </w:r>
            <w:r>
              <w:rPr>
                <w:rFonts w:ascii="Times New Roman" w:hAnsi="Times New Roman"/>
                <w:i w:val="0"/>
                <w:sz w:val="20"/>
              </w:rPr>
              <w:t>satyam.patel@silveroakuni.ac.in</w:t>
            </w:r>
          </w:p>
        </w:tc>
        <w:tc>
          <w:tcPr>
            <w:tcW w:type="dxa" w:w="3298"/>
          </w:tcPr>
          <w:p>
            <w:pPr>
              <w:spacing w:before="0" w:after="40" w:line="252" w:lineRule="auto"/>
              <w:jc w:val="center"/>
            </w:pPr>
            <w:r>
              <w:rPr>
                <w:rFonts w:ascii="Times New Roman" w:hAnsi="Times New Roman"/>
                <w:b w:val="0"/>
                <w:sz w:val="24"/>
              </w:rPr>
              <w:t>Harsh V. Trivedi</w:t>
              <w:br/>
            </w:r>
            <w:r>
              <w:rPr>
                <w:rFonts w:ascii="Times New Roman" w:hAnsi="Times New Roman"/>
                <w:i/>
                <w:sz w:val="20"/>
              </w:rPr>
              <w:t>Dept. of Computer Engineering</w:t>
              <w:br/>
            </w:r>
            <w:r>
              <w:rPr>
                <w:rFonts w:ascii="Times New Roman" w:hAnsi="Times New Roman"/>
                <w:i/>
                <w:sz w:val="20"/>
              </w:rPr>
              <w:t>Silver Oak University</w:t>
              <w:br/>
            </w:r>
            <w:r>
              <w:rPr>
                <w:rFonts w:ascii="Times New Roman" w:hAnsi="Times New Roman"/>
                <w:i/>
                <w:sz w:val="20"/>
              </w:rPr>
              <w:t>Ahmedabad, Gujarat, India</w:t>
              <w:br/>
            </w:r>
            <w:r>
              <w:rPr>
                <w:rFonts w:ascii="Times New Roman" w:hAnsi="Times New Roman"/>
                <w:i w:val="0"/>
                <w:sz w:val="20"/>
              </w:rPr>
              <w:t>harsh.trivedi@silveroakuni.ac.in</w:t>
            </w:r>
          </w:p>
        </w:tc>
        <w:tc>
          <w:tcPr>
            <w:tcW w:type="dxa" w:w="3298"/>
          </w:tcPr>
          <w:p>
            <w:pPr>
              <w:spacing w:before="0" w:after="40" w:line="252" w:lineRule="auto"/>
              <w:jc w:val="center"/>
            </w:pPr>
            <w:r>
              <w:rPr>
                <w:rFonts w:ascii="Times New Roman" w:hAnsi="Times New Roman"/>
                <w:b w:val="0"/>
                <w:sz w:val="24"/>
              </w:rPr>
              <w:t>Priya R. Shah</w:t>
              <w:br/>
            </w:r>
            <w:r>
              <w:rPr>
                <w:rFonts w:ascii="Times New Roman" w:hAnsi="Times New Roman"/>
                <w:i/>
                <w:sz w:val="20"/>
              </w:rPr>
              <w:t>Dept. of Information Technology</w:t>
              <w:br/>
            </w:r>
            <w:r>
              <w:rPr>
                <w:rFonts w:ascii="Times New Roman" w:hAnsi="Times New Roman"/>
                <w:i/>
                <w:sz w:val="20"/>
              </w:rPr>
              <w:t>Silver Oak University</w:t>
              <w:br/>
            </w:r>
            <w:r>
              <w:rPr>
                <w:rFonts w:ascii="Times New Roman" w:hAnsi="Times New Roman"/>
                <w:i/>
                <w:sz w:val="20"/>
              </w:rPr>
              <w:t>Ahmedabad, Gujarat, India</w:t>
              <w:br/>
            </w:r>
            <w:r>
              <w:rPr>
                <w:rFonts w:ascii="Times New Roman" w:hAnsi="Times New Roman"/>
                <w:i w:val="0"/>
                <w:sz w:val="20"/>
              </w:rPr>
              <w:t>priya.shah@silveroakuni.ac.in</w:t>
            </w:r>
          </w:p>
        </w:tc>
      </w:tr>
    </w:tbl>
    <w:p>
      <w:pPr>
        <w:spacing w:before="0" w:after="200"/>
      </w:pPr>
    </w:p>
    <w:p>
      <w:pPr>
        <w:sectPr>
          <w:pgSz w:w="12240" w:h="15840"/>
          <w:pgMar w:top="1440" w:right="1170" w:bottom="1620" w:left="1170" w:header="720" w:footer="720" w:gutter="0"/>
          <w:cols w:space="720"/>
          <w:docGrid w:linePitch="360"/>
        </w:sectPr>
      </w:pPr>
    </w:p>
    <w:p>
      <w:pPr>
        <w:spacing w:before="0" w:after="200" w:line="240" w:lineRule="auto"/>
        <w:jc w:val="both"/>
      </w:pPr>
      <w:r>
        <w:rPr>
          <w:rFonts w:ascii="Times New Roman" w:hAnsi="Times New Roman"/>
          <w:b/>
          <w:i/>
          <w:sz w:val="20"/>
        </w:rPr>
        <w:t xml:space="preserve">Abstract - </w:t>
      </w:r>
      <w:r>
        <w:rPr>
          <w:rFonts w:ascii="Times New Roman" w:hAnsi="Times New Roman"/>
          <w:b/>
          <w:i/>
          <w:sz w:val="20"/>
        </w:rPr>
        <w:t>Traditional university dining facilities suffer from acute counter congestion during synchronized lecture breaks, creating extensive queue wait times, lost instructional hours, and operational overhead for cafeteria operators. Existing commercial food-delivery platforms cannot resolve these localized bottlenecks due to hefty commission structures, dependency on third-party couriers, and the total lack of perimeter geofencing. This paper presents SkipQ, an edge-aware, real-time micro-ordering and queue-mitigation platform designed specifically for higher education campuses. SkipQ combines client-side Haversine geofencing within a 300-meter threshold to suppress phantom and off-campus orders, an atomic dual-role finite state machine linking student ordering with a vendor Point-of-Sale (POS) terminal, and a resilient synchronization pipeline merging Cloud Firestore with zero-latency local BroadcastChannel fallbacks. The system further introduces an Active Booking Pill with dynamic countdown states, ephemeral 4-digit PIN verification handshakes, and algorithmic anti-ghosting penalty safeguards. Empirical deployment across Silver Oak University food outlets demonstrates an 81.4% reduction in peak counter queuing dwell time, sub-120ms cross-client synchronization latency, and zero order abandonment.</w:t>
      </w:r>
    </w:p>
    <w:p>
      <w:pPr>
        <w:spacing w:before="0" w:after="240" w:line="240" w:lineRule="auto"/>
        <w:jc w:val="both"/>
      </w:pPr>
      <w:r>
        <w:rPr>
          <w:rFonts w:ascii="Times New Roman" w:hAnsi="Times New Roman"/>
          <w:b/>
          <w:i/>
          <w:sz w:val="20"/>
        </w:rPr>
        <w:t xml:space="preserve">Index Terms - </w:t>
      </w:r>
      <w:r>
        <w:rPr>
          <w:rFonts w:ascii="Times New Roman" w:hAnsi="Times New Roman"/>
          <w:b/>
          <w:i/>
          <w:sz w:val="20"/>
        </w:rPr>
        <w:t>Campus dining, Geofencing, Mobile ordering, Queue mitigation, Real-time state synchronization.</w:t>
      </w:r>
    </w:p>
    <w:p>
      <w:pPr>
        <w:keepNext/>
        <w:spacing w:before="240" w:after="120"/>
        <w:jc w:val="center"/>
      </w:pPr>
      <w:r>
        <w:rPr>
          <w:rFonts w:ascii="Times New Roman" w:hAnsi="Times New Roman"/>
          <w:b/>
          <w:sz w:val="20"/>
        </w:rPr>
        <w:t>I. INTRODUCTION</w:t>
      </w:r>
    </w:p>
    <w:p>
      <w:pPr>
        <w:spacing w:before="0" w:after="0" w:line="240" w:lineRule="auto"/>
        <w:jc w:val="both"/>
      </w:pPr>
      <w:r>
        <w:rPr>
          <w:rFonts w:ascii="Times New Roman" w:hAnsi="Times New Roman"/>
          <w:sz w:val="20"/>
        </w:rPr>
        <w:t>University campus environments exhibit extreme, synchronized surges in human density during scheduled inter-class intervals and lunch recesses. In typical collegiate schedules, thousands of students and faculty members transition simultaneously into dining commons during brief 10 to 20-minute passing periods. Under classical queuing theory, when customer arrival rates momentarily eclipse counter service capacity, queue lengths expand non-linearly, giving rise to protracted wait intervals, delayed classroom attendance, and chaotic vendor counters.</w:t>
      </w:r>
    </w:p>
    <w:p>
      <w:pPr>
        <w:spacing w:before="0" w:after="0" w:line="240" w:lineRule="auto"/>
        <w:ind w:firstLine="245"/>
        <w:jc w:val="both"/>
      </w:pPr>
      <w:r>
        <w:rPr>
          <w:rFonts w:ascii="Times New Roman" w:hAnsi="Times New Roman"/>
          <w:sz w:val="20"/>
        </w:rPr>
        <w:t>Commercial food delivery ecosystems, including Uber Eats, DoorDash, Swiggy, and Zomato, are architecturally ill-suited for dense institutional micro-environments. First, their revenue models impose vendor commissions ranging from 18% to 30%, which eliminates the viable margins of small campus kiosks and affordable student meal plans. Second, third-party courier dispatch is physically barred from entering institutional academic blocks and inner quadrangles. Third, commercial apps lack physical perimeter enforcement; remote students frequently trigger orders while miles away, leading to cold food accumulation, unclaimed trays, and counter bottlenecks.</w:t>
      </w:r>
    </w:p>
    <w:p>
      <w:pPr>
        <w:spacing w:before="0" w:after="0" w:line="240" w:lineRule="auto"/>
        <w:ind w:firstLine="245"/>
        <w:jc w:val="both"/>
      </w:pPr>
      <w:r>
        <w:rPr>
          <w:rFonts w:ascii="Times New Roman" w:hAnsi="Times New Roman"/>
          <w:sz w:val="20"/>
        </w:rPr>
        <w:t>To resolve these fundamental deficiencies, we developed and deployed SkipQ—a high-performance, real-time micro-ordering and queue mitigation system built natively for campus dining. SkipQ shifts the order placement and kitchen fulfillment paradigms through five distinct engineering innovations:</w:t>
      </w:r>
    </w:p>
    <w:p>
      <w:pPr>
        <w:pStyle w:val="ListBullet"/>
        <w:spacing w:before="20" w:after="20" w:line="240" w:lineRule="auto"/>
        <w:ind w:left="360"/>
        <w:jc w:val="both"/>
      </w:pPr>
      <w:r>
        <w:rPr>
          <w:rFonts w:ascii="Times New Roman" w:hAnsi="Times New Roman"/>
          <w:b/>
          <w:sz w:val="20"/>
        </w:rPr>
        <w:t xml:space="preserve">1) Perimeter Geofencing Engine: </w:t>
      </w:r>
      <w:r>
        <w:rPr>
          <w:rFonts w:ascii="Times New Roman" w:hAnsi="Times New Roman"/>
          <w:sz w:val="20"/>
        </w:rPr>
        <w:t>Enforces strict mathematical GPS bounds (R &lt;= 300 meters) calculated via the Haversine formula on the client device, ensuring orders can only be placed when physically present on campus.</w:t>
      </w:r>
    </w:p>
    <w:p>
      <w:pPr>
        <w:pStyle w:val="ListBullet"/>
        <w:spacing w:before="20" w:after="20" w:line="240" w:lineRule="auto"/>
        <w:ind w:left="360"/>
        <w:jc w:val="both"/>
      </w:pPr>
      <w:r>
        <w:rPr>
          <w:rFonts w:ascii="Times New Roman" w:hAnsi="Times New Roman"/>
          <w:b/>
          <w:sz w:val="20"/>
        </w:rPr>
        <w:t xml:space="preserve">2) Dual-Role Synchronization: </w:t>
      </w:r>
      <w:r>
        <w:rPr>
          <w:rFonts w:ascii="Times New Roman" w:hAnsi="Times New Roman"/>
          <w:sz w:val="20"/>
        </w:rPr>
        <w:t>Seamlessly binds student/faculty ordering clients with vendor POS kitchen displays through an event-driven hybrid state fabric combining Cloud Firestore and local cross-tab event broadcasts.</w:t>
      </w:r>
    </w:p>
    <w:p>
      <w:pPr>
        <w:pStyle w:val="ListBullet"/>
        <w:spacing w:before="20" w:after="20" w:line="240" w:lineRule="auto"/>
        <w:ind w:left="360"/>
        <w:jc w:val="both"/>
      </w:pPr>
      <w:r>
        <w:rPr>
          <w:rFonts w:ascii="Times New Roman" w:hAnsi="Times New Roman"/>
          <w:b/>
          <w:sz w:val="20"/>
        </w:rPr>
        <w:t xml:space="preserve">3) Dynamic Island Booking Pass: </w:t>
      </w:r>
      <w:r>
        <w:rPr>
          <w:rFonts w:ascii="Times New Roman" w:hAnsi="Times New Roman"/>
          <w:sz w:val="20"/>
        </w:rPr>
        <w:t>A non-intrusive floating island capsule and digital pass providing synchronized countdown timers, preparation stage tracking, and haptic/audio alerts.</w:t>
      </w:r>
    </w:p>
    <w:p>
      <w:pPr>
        <w:pStyle w:val="ListBullet"/>
        <w:spacing w:before="20" w:after="20" w:line="240" w:lineRule="auto"/>
        <w:ind w:left="360"/>
        <w:jc w:val="both"/>
      </w:pPr>
      <w:r>
        <w:rPr>
          <w:rFonts w:ascii="Times New Roman" w:hAnsi="Times New Roman"/>
          <w:b/>
          <w:sz w:val="20"/>
        </w:rPr>
        <w:t xml:space="preserve">4) Zero-Trust PIN Handshake: </w:t>
      </w:r>
      <w:r>
        <w:rPr>
          <w:rFonts w:ascii="Times New Roman" w:hAnsi="Times New Roman"/>
          <w:sz w:val="20"/>
        </w:rPr>
        <w:t>An ephemeral 4-digit token verification protocol that ensures food is only surrendered to the verified buyer, preventing theft and mistaken handoffs.</w:t>
      </w:r>
    </w:p>
    <w:p>
      <w:pPr>
        <w:pStyle w:val="ListBullet"/>
        <w:spacing w:before="20" w:after="20" w:line="240" w:lineRule="auto"/>
        <w:ind w:left="360"/>
        <w:jc w:val="both"/>
      </w:pPr>
      <w:r>
        <w:rPr>
          <w:rFonts w:ascii="Times New Roman" w:hAnsi="Times New Roman"/>
          <w:b/>
          <w:sz w:val="20"/>
        </w:rPr>
        <w:t xml:space="preserve">5) Anti-Ghosting Penalty Engine: </w:t>
      </w:r>
      <w:r>
        <w:rPr>
          <w:rFonts w:ascii="Times New Roman" w:hAnsi="Times New Roman"/>
          <w:sz w:val="20"/>
        </w:rPr>
        <w:t>Algorithmic enforcement of wallet forfeitures, temporary lockouts, and persistent bans for uncollected meals, mitigating vendor financial losses.</w:t>
      </w:r>
    </w:p>
    <w:p>
      <w:pPr>
        <w:keepNext/>
        <w:spacing w:before="240" w:after="120"/>
        <w:jc w:val="center"/>
      </w:pPr>
      <w:r>
        <w:rPr>
          <w:rFonts w:ascii="Times New Roman" w:hAnsi="Times New Roman"/>
          <w:b/>
          <w:sz w:val="20"/>
        </w:rPr>
        <w:t>II. THEORETICAL FOUNDATION &amp; RELATED WORK</w:t>
      </w:r>
    </w:p>
    <w:p>
      <w:pPr>
        <w:keepNext/>
        <w:spacing w:before="180" w:after="60"/>
        <w:jc w:val="left"/>
      </w:pPr>
      <w:r>
        <w:rPr>
          <w:rFonts w:ascii="Times New Roman" w:hAnsi="Times New Roman"/>
          <w:b w:val="0"/>
          <w:i/>
          <w:sz w:val="20"/>
        </w:rPr>
        <w:t>I. Queuing Dynamics in Dense Campuses</w:t>
      </w:r>
    </w:p>
    <w:p>
      <w:pPr>
        <w:spacing w:before="0" w:after="0" w:line="240" w:lineRule="auto"/>
        <w:jc w:val="both"/>
      </w:pPr>
      <w:r>
        <w:rPr>
          <w:rFonts w:ascii="Times New Roman" w:hAnsi="Times New Roman"/>
          <w:sz w:val="20"/>
        </w:rPr>
        <w:t>Cafeteria service counters represent an M/M/c queuing system with Poisson arrivals at rate lambda and exponential service times at rate mu distributed across c cashiers. In a conventional manual queue, total time spent by a student W is given by Little's Law:</w:t>
      </w:r>
    </w:p>
    <w:p>
      <w:pPr>
        <w:spacing w:before="80" w:after="80"/>
        <w:jc w:val="right"/>
      </w:pPr>
      <w:r>
        <w:rPr>
          <w:rFonts w:ascii="Times New Roman" w:hAnsi="Times New Roman"/>
          <w:i/>
          <w:sz w:val="20"/>
        </w:rPr>
        <w:t>W = W_q + \frac{1}{\mu} = \frac{\lambda}{\mu(\mu - \lambda)} + \frac{1}{\mu}</w:t>
        <w:tab/>
        <w:tab/>
        <w:t>(1)</w:t>
      </w:r>
    </w:p>
    <w:p>
      <w:pPr>
        <w:spacing w:before="0" w:after="0" w:line="240" w:lineRule="auto"/>
        <w:ind w:firstLine="245"/>
        <w:jc w:val="both"/>
      </w:pPr>
      <w:r>
        <w:rPr>
          <w:rFonts w:ascii="Times New Roman" w:hAnsi="Times New Roman"/>
          <w:sz w:val="20"/>
        </w:rPr>
        <w:t>As lambda approaches service capacity, counter dwell times diverge asymptotically towards infinity. SkipQ decouples the ordering and payment phase from physical counter arrival, converting synchronized arrival bursts into an asynchronous, pipeline-buffered preparation queue with near-zero counter dwell time (W_q -&gt; 0).</w:t>
      </w:r>
    </w:p>
    <w:p>
      <w:pPr>
        <w:keepNext/>
        <w:spacing w:before="180" w:after="60"/>
        <w:jc w:val="left"/>
      </w:pPr>
      <w:r>
        <w:rPr>
          <w:rFonts w:ascii="Times New Roman" w:hAnsi="Times New Roman"/>
          <w:b w:val="0"/>
          <w:i/>
          <w:sz w:val="20"/>
        </w:rPr>
        <w:t>II. Geodetic Perimeter Calculation</w:t>
      </w:r>
    </w:p>
    <w:p>
      <w:pPr>
        <w:spacing w:before="0" w:after="0" w:line="240" w:lineRule="auto"/>
        <w:jc w:val="both"/>
      </w:pPr>
      <w:r>
        <w:rPr>
          <w:rFonts w:ascii="Times New Roman" w:hAnsi="Times New Roman"/>
          <w:sz w:val="20"/>
        </w:rPr>
        <w:t>To guarantee proximity without straining backend server compute with continuous telemetry tracking, SkipQ evaluates user coordinates client-side against predefined university geolocation coordinates using the spherical earth Haversine equation:</w:t>
      </w:r>
    </w:p>
    <w:p>
      <w:pPr>
        <w:spacing w:before="80" w:after="80"/>
        <w:jc w:val="right"/>
      </w:pPr>
      <w:r>
        <w:rPr>
          <w:rFonts w:ascii="Times New Roman" w:hAnsi="Times New Roman"/>
          <w:i/>
          <w:sz w:val="20"/>
        </w:rPr>
        <w:t>a = \sin^2\left(\frac{\Delta\phi}{2}\right) + \cos(\phi_1)\cos(\phi_2)\sin^2\left(\frac{\Delta\lambda}{2}\right)</w:t>
        <w:tab/>
        <w:tab/>
        <w:t>(2)</w:t>
      </w:r>
    </w:p>
    <w:p>
      <w:pPr>
        <w:spacing w:before="80" w:after="80"/>
        <w:jc w:val="right"/>
      </w:pPr>
      <w:r>
        <w:rPr>
          <w:rFonts w:ascii="Times New Roman" w:hAnsi="Times New Roman"/>
          <w:i/>
          <w:sz w:val="20"/>
        </w:rPr>
        <w:t>d = 2R \cdot \operatorname{atan2}\left(\sqrt{a}, \sqrt{1 - a}\right)</w:t>
        <w:tab/>
        <w:tab/>
        <w:t>(3)</w:t>
      </w:r>
    </w:p>
    <w:p>
      <w:pPr>
        <w:spacing w:before="0" w:after="0" w:line="240" w:lineRule="auto"/>
        <w:ind w:firstLine="245"/>
        <w:jc w:val="both"/>
      </w:pPr>
      <w:r>
        <w:rPr>
          <w:rFonts w:ascii="Times New Roman" w:hAnsi="Times New Roman"/>
          <w:sz w:val="20"/>
        </w:rPr>
        <w:t>where phi represents geodetic latitude, lambda represents longitude, and R is the mean Earth radius taken as 6,371,000 meters. The application enforces a hard gating condition:</w:t>
      </w:r>
    </w:p>
    <w:p>
      <w:pPr>
        <w:spacing w:before="80" w:after="80"/>
        <w:jc w:val="right"/>
      </w:pPr>
      <w:r>
        <w:rPr>
          <w:rFonts w:ascii="Times New Roman" w:hAnsi="Times New Roman"/>
          <w:i/>
          <w:sz w:val="20"/>
        </w:rPr>
        <w:t>\text{PermitOrder} = \begin{cases} \text{TRUE}, &amp; \text{if } d \le D_{\max} \\ \text{FALSE}, &amp; \text{if } d &gt; D_{\max} \end{cases}</w:t>
        <w:tab/>
        <w:tab/>
        <w:t>(4)</w:t>
      </w:r>
    </w:p>
    <w:p>
      <w:pPr>
        <w:spacing w:before="0" w:after="0" w:line="240" w:lineRule="auto"/>
        <w:ind w:firstLine="245"/>
        <w:jc w:val="both"/>
      </w:pPr>
      <w:r>
        <w:rPr>
          <w:rFonts w:ascii="Times New Roman" w:hAnsi="Times New Roman"/>
          <w:sz w:val="20"/>
        </w:rPr>
        <w:t>where D_max is parameterized to 300 meters, matching the pedestrian walking radius of campus quadrangles.</w:t>
      </w:r>
    </w:p>
    <w:p>
      <w:pPr>
        <w:keepNext/>
        <w:spacing w:before="240" w:after="120"/>
        <w:jc w:val="center"/>
      </w:pPr>
      <w:r>
        <w:rPr>
          <w:rFonts w:ascii="Times New Roman" w:hAnsi="Times New Roman"/>
          <w:b/>
          <w:sz w:val="20"/>
        </w:rPr>
        <w:t>III. SYSTEM ARCHITECTURE &amp; DESIGN</w:t>
      </w:r>
    </w:p>
    <w:p>
      <w:pPr>
        <w:spacing w:before="0" w:after="0" w:line="240" w:lineRule="auto"/>
        <w:jc w:val="both"/>
      </w:pPr>
      <w:r>
        <w:rPr>
          <w:rFonts w:ascii="Times New Roman" w:hAnsi="Times New Roman"/>
          <w:sz w:val="20"/>
        </w:rPr>
        <w:t>SkipQ is constructed as an edge-oriented, multi-tenant progressive application running across mobile operating systems (iOS, Android via Expo) and web environments. The platform is partitioned into three core decoupled layers: the Client Presentation Layer, the Hybrid Real-Time State Tier, and the Cloud Security and Transactional Backend.</w:t>
      </w:r>
    </w:p>
    <w:p>
      <w:pPr>
        <w:spacing w:before="120" w:after="40"/>
        <w:jc w:val="center"/>
      </w:pPr>
      <w:r>
        <w:drawing>
          <wp:inline xmlns:a="http://schemas.openxmlformats.org/drawingml/2006/main" xmlns:pic="http://schemas.openxmlformats.org/drawingml/2006/picture">
            <wp:extent cx="2926080" cy="1873533"/>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2926080" cy="1873533"/>
                    </a:xfrm>
                    <a:prstGeom prst="rect"/>
                  </pic:spPr>
                </pic:pic>
              </a:graphicData>
            </a:graphic>
          </wp:inline>
        </w:drawing>
      </w:r>
    </w:p>
    <w:p>
      <w:pPr>
        <w:spacing w:before="40" w:after="120" w:line="240" w:lineRule="auto"/>
        <w:jc w:val="left"/>
      </w:pPr>
      <w:r>
        <w:rPr>
          <w:rFonts w:ascii="Times New Roman" w:hAnsi="Times New Roman"/>
          <w:b/>
          <w:sz w:val="18"/>
        </w:rPr>
        <w:t xml:space="preserve">FIGURE 1. SYSTEM USE CASE MODEL. </w:t>
      </w:r>
      <w:r>
        <w:rPr>
          <w:rFonts w:ascii="Times New Roman" w:hAnsi="Times New Roman"/>
          <w:sz w:val="18"/>
        </w:rPr>
        <w:t>Functional interactions illustrating student buyers exploring menus within geofenced boundaries, vendor POS operations managing item availability, and automated background transaction handling.</w:t>
      </w:r>
    </w:p>
    <w:p>
      <w:pPr>
        <w:keepNext/>
        <w:spacing w:before="180" w:after="60"/>
        <w:jc w:val="left"/>
      </w:pPr>
      <w:r>
        <w:rPr>
          <w:rFonts w:ascii="Times New Roman" w:hAnsi="Times New Roman"/>
          <w:b w:val="0"/>
          <w:i/>
          <w:sz w:val="20"/>
        </w:rPr>
        <w:t>I. Presentation Tier &amp; Dynamic Booking Pill</w:t>
      </w:r>
    </w:p>
    <w:p>
      <w:pPr>
        <w:spacing w:before="0" w:after="0" w:line="240" w:lineRule="auto"/>
        <w:jc w:val="both"/>
      </w:pPr>
      <w:r>
        <w:rPr>
          <w:rFonts w:ascii="Times New Roman" w:hAnsi="Times New Roman"/>
          <w:sz w:val="20"/>
        </w:rPr>
        <w:t>The buyer interface implements a Campus Radar view that dynamically groups food stalls by walking distance, current queue load, and operational status. Upon order commitment, the client spawns an isolated background timer component, the Dynamic Active Booking Pill. Inspired by modern dynamic island hardware primitives, this persistent HUD element renders real-time state progressions (Placed -&gt; Preparing -&gt; Ready) without obstructing subsequent catalog browsing.</w:t>
      </w:r>
    </w:p>
    <w:p>
      <w:pPr>
        <w:keepNext/>
        <w:spacing w:before="180" w:after="60"/>
        <w:jc w:val="left"/>
      </w:pPr>
      <w:r>
        <w:rPr>
          <w:rFonts w:ascii="Times New Roman" w:hAnsi="Times New Roman"/>
          <w:b w:val="0"/>
          <w:i/>
          <w:sz w:val="20"/>
        </w:rPr>
        <w:t>II. Vendor POS Kitchen Controller</w:t>
      </w:r>
    </w:p>
    <w:p>
      <w:pPr>
        <w:spacing w:before="0" w:after="0" w:line="240" w:lineRule="auto"/>
        <w:jc w:val="both"/>
      </w:pPr>
      <w:r>
        <w:rPr>
          <w:rFonts w:ascii="Times New Roman" w:hAnsi="Times New Roman"/>
          <w:sz w:val="20"/>
        </w:rPr>
        <w:t>The vendor interface is optimized for high-throughput touch-screen kitchen displays. It aggregates live inbound tickets categorized into 'Pending Acceptance', 'In Kitchen', and 'Ready for Handoff'. The POS system leverages browser Web Audio synthesizer primitives and HTML5 Speech Synthesis APIs to broadcast multi-frequency acoustic buzzers and speech token announcements when orders transition to 'Ready', eliminating kitchen worker display distractions.</w:t>
      </w:r>
    </w:p>
    <w:p>
      <w:pPr>
        <w:keepNext/>
        <w:spacing w:before="240" w:after="120"/>
        <w:jc w:val="center"/>
      </w:pPr>
      <w:r>
        <w:rPr>
          <w:rFonts w:ascii="Times New Roman" w:hAnsi="Times New Roman"/>
          <w:b/>
          <w:sz w:val="20"/>
        </w:rPr>
        <w:t>IV. IMPLEMENTATION &amp; CORE SUBSYSTEMS</w:t>
      </w:r>
    </w:p>
    <w:p>
      <w:pPr>
        <w:spacing w:before="120" w:after="40"/>
        <w:jc w:val="center"/>
      </w:pPr>
      <w:r>
        <w:drawing>
          <wp:inline xmlns:a="http://schemas.openxmlformats.org/drawingml/2006/main" xmlns:pic="http://schemas.openxmlformats.org/drawingml/2006/picture">
            <wp:extent cx="2926080" cy="1944174"/>
            <wp:docPr id="2" name="Picture 2"/>
            <wp:cNvGraphicFramePr>
              <a:graphicFrameLocks noChangeAspect="1"/>
            </wp:cNvGraphicFramePr>
            <a:graphic>
              <a:graphicData uri="http://schemas.openxmlformats.org/drawingml/2006/picture">
                <pic:pic>
                  <pic:nvPicPr>
                    <pic:cNvPr id="0" name="sequence_diagram.png"/>
                    <pic:cNvPicPr/>
                  </pic:nvPicPr>
                  <pic:blipFill>
                    <a:blip r:embed="rId10"/>
                    <a:stretch>
                      <a:fillRect/>
                    </a:stretch>
                  </pic:blipFill>
                  <pic:spPr>
                    <a:xfrm>
                      <a:off x="0" y="0"/>
                      <a:ext cx="2926080" cy="1944174"/>
                    </a:xfrm>
                    <a:prstGeom prst="rect"/>
                  </pic:spPr>
                </pic:pic>
              </a:graphicData>
            </a:graphic>
          </wp:inline>
        </w:drawing>
      </w:r>
    </w:p>
    <w:p>
      <w:pPr>
        <w:spacing w:before="40" w:after="120" w:line="240" w:lineRule="auto"/>
        <w:jc w:val="left"/>
      </w:pPr>
      <w:r>
        <w:rPr>
          <w:rFonts w:ascii="Times New Roman" w:hAnsi="Times New Roman"/>
          <w:b/>
          <w:sz w:val="18"/>
        </w:rPr>
        <w:t xml:space="preserve">FIGURE 2. END-TO-END ORDER LIFECYCLE SEQUENCE. </w:t>
      </w:r>
      <w:r>
        <w:rPr>
          <w:rFonts w:ascii="Times New Roman" w:hAnsi="Times New Roman"/>
          <w:sz w:val="18"/>
        </w:rPr>
        <w:t>Chronological interaction sequence depicting geofence validation, optimistic UI updates, Firestore state replication, POS kitchen acknowledgement, acoustic signal synthesis, and 4-digit PIN verification.</w:t>
      </w:r>
    </w:p>
    <w:p>
      <w:pPr>
        <w:keepNext/>
        <w:spacing w:before="180" w:after="60"/>
        <w:jc w:val="left"/>
      </w:pPr>
      <w:r>
        <w:rPr>
          <w:rFonts w:ascii="Times New Roman" w:hAnsi="Times New Roman"/>
          <w:b w:val="0"/>
          <w:i/>
          <w:sz w:val="20"/>
        </w:rPr>
        <w:t>I. Hybrid Synchronization Engine</w:t>
      </w:r>
    </w:p>
    <w:p>
      <w:pPr>
        <w:spacing w:before="0" w:after="0" w:line="240" w:lineRule="auto"/>
        <w:jc w:val="both"/>
      </w:pPr>
      <w:r>
        <w:rPr>
          <w:rFonts w:ascii="Times New Roman" w:hAnsi="Times New Roman"/>
          <w:sz w:val="20"/>
        </w:rPr>
        <w:t>A critical challenge in institutional Wi-Fi environments is frequent packet drops and captive portal latency. SkipQ implements a dual-layer synchronization pipeline. Primary data consistency is maintained via Google Cloud Firestore snapshot listeners with optimistic client writes. Simultaneously, the application exposes a secondary BroadcastChannel synchronization bus allowing cross-tab and local-process state dissemination with sub-5ms latency, backed by persistent AsyncStorage caching for offline recovery.</w:t>
      </w:r>
    </w:p>
    <w:p>
      <w:pPr>
        <w:spacing w:before="120" w:after="40"/>
        <w:jc w:val="center"/>
      </w:pPr>
      <w:r>
        <w:drawing>
          <wp:inline xmlns:a="http://schemas.openxmlformats.org/drawingml/2006/main" xmlns:pic="http://schemas.openxmlformats.org/drawingml/2006/picture">
            <wp:extent cx="2926080" cy="1944174"/>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2926080" cy="1944174"/>
                    </a:xfrm>
                    <a:prstGeom prst="rect"/>
                  </pic:spPr>
                </pic:pic>
              </a:graphicData>
            </a:graphic>
          </wp:inline>
        </w:drawing>
      </w:r>
    </w:p>
    <w:p>
      <w:pPr>
        <w:spacing w:before="40" w:after="120" w:line="240" w:lineRule="auto"/>
        <w:jc w:val="left"/>
      </w:pPr>
      <w:r>
        <w:rPr>
          <w:rFonts w:ascii="Times New Roman" w:hAnsi="Times New Roman"/>
          <w:b/>
          <w:sz w:val="18"/>
        </w:rPr>
        <w:t xml:space="preserve">FIGURE 3. DOMAIN ENTITY &amp; ARCHITECTURAL CLASS DIAGRAM. </w:t>
      </w:r>
      <w:r>
        <w:rPr>
          <w:rFonts w:ascii="Times New Roman" w:hAnsi="Times New Roman"/>
          <w:sz w:val="18"/>
        </w:rPr>
        <w:t>Comprehensive structural model detailing Canteen, MenuItem, Order, DigitalPass, and UserProfile entities coordinating state between the client context and Firebase services.</w:t>
      </w:r>
    </w:p>
    <w:p>
      <w:pPr>
        <w:keepNext/>
        <w:spacing w:before="180" w:after="60"/>
        <w:jc w:val="left"/>
      </w:pPr>
      <w:r>
        <w:rPr>
          <w:rFonts w:ascii="Times New Roman" w:hAnsi="Times New Roman"/>
          <w:b w:val="0"/>
          <w:i/>
          <w:sz w:val="20"/>
        </w:rPr>
        <w:t>II. Anti-Ghosting &amp; Abandonment Policy</w:t>
      </w:r>
    </w:p>
    <w:p>
      <w:pPr>
        <w:spacing w:before="0" w:after="0" w:line="240" w:lineRule="auto"/>
        <w:jc w:val="both"/>
      </w:pPr>
      <w:r>
        <w:rPr>
          <w:rFonts w:ascii="Times New Roman" w:hAnsi="Times New Roman"/>
          <w:sz w:val="20"/>
        </w:rPr>
        <w:t>Unclaimed meals represent severe fiscal waste for canteen owners. SkipQ enforces an automated anti-ghosting protocol. Each order is stamped with an expected pickup window (default: 15 minutes post preparation). If a student fails to present their 4-digit PIN within the grace period:</w:t>
      </w:r>
    </w:p>
    <w:p>
      <w:pPr>
        <w:pStyle w:val="ListBullet"/>
        <w:spacing w:before="20" w:after="20" w:line="240" w:lineRule="auto"/>
        <w:ind w:left="360"/>
        <w:jc w:val="both"/>
      </w:pPr>
      <w:r>
        <w:rPr>
          <w:rFonts w:ascii="Times New Roman" w:hAnsi="Times New Roman"/>
          <w:b/>
          <w:sz w:val="20"/>
        </w:rPr>
        <w:t xml:space="preserve">1) Financial Forfeiture: </w:t>
      </w:r>
      <w:r>
        <w:rPr>
          <w:rFonts w:ascii="Times New Roman" w:hAnsi="Times New Roman"/>
          <w:sz w:val="20"/>
        </w:rPr>
        <w:t>The pre-paid wallet balance or digital transaction is surrendered directly to the vendor to reimburse food preparation costs.</w:t>
      </w:r>
    </w:p>
    <w:p>
      <w:pPr>
        <w:pStyle w:val="ListBullet"/>
        <w:spacing w:before="20" w:after="20" w:line="240" w:lineRule="auto"/>
        <w:ind w:left="360"/>
        <w:jc w:val="both"/>
      </w:pPr>
      <w:r>
        <w:rPr>
          <w:rFonts w:ascii="Times New Roman" w:hAnsi="Times New Roman"/>
          <w:b/>
          <w:sz w:val="20"/>
        </w:rPr>
        <w:t xml:space="preserve">2) Reputation Increment: </w:t>
      </w:r>
      <w:r>
        <w:rPr>
          <w:rFonts w:ascii="Times New Roman" w:hAnsi="Times New Roman"/>
          <w:sz w:val="20"/>
        </w:rPr>
        <w:t>The user's unclaimed order counter is atomically incremented in Firestore.</w:t>
      </w:r>
    </w:p>
    <w:p>
      <w:pPr>
        <w:pStyle w:val="ListBullet"/>
        <w:spacing w:before="20" w:after="20" w:line="240" w:lineRule="auto"/>
        <w:ind w:left="360"/>
        <w:jc w:val="both"/>
      </w:pPr>
      <w:r>
        <w:rPr>
          <w:rFonts w:ascii="Times New Roman" w:hAnsi="Times New Roman"/>
          <w:b/>
          <w:sz w:val="20"/>
        </w:rPr>
        <w:t xml:space="preserve">3) Progressive Lockout: </w:t>
      </w:r>
      <w:r>
        <w:rPr>
          <w:rFonts w:ascii="Times New Roman" w:hAnsi="Times New Roman"/>
          <w:sz w:val="20"/>
        </w:rPr>
        <w:t>Reaching three infractions triggers a mandatory 24-hour temporary suspension. Continued violations culminate in permanent platform expulsion.</w:t>
      </w:r>
    </w:p>
    <w:p>
      <w:pPr>
        <w:keepNext/>
        <w:spacing w:before="240" w:after="120"/>
        <w:jc w:val="center"/>
      </w:pPr>
      <w:r>
        <w:rPr>
          <w:rFonts w:ascii="Times New Roman" w:hAnsi="Times New Roman"/>
          <w:b/>
          <w:sz w:val="20"/>
        </w:rPr>
        <w:t>V. EXPERIMENTAL EVALUATION</w:t>
      </w:r>
    </w:p>
    <w:p>
      <w:pPr>
        <w:spacing w:before="0" w:after="0" w:line="240" w:lineRule="auto"/>
        <w:jc w:val="both"/>
      </w:pPr>
      <w:r>
        <w:rPr>
          <w:rFonts w:ascii="Times New Roman" w:hAnsi="Times New Roman"/>
          <w:sz w:val="20"/>
        </w:rPr>
        <w:t>SkipQ was evaluated in a controlled field study conducted across three primary food canteens at Silver Oak University during a two-week examination period characterized by peak student volume. Metrics were logged across 1,420 unique student orders and compared against baseline manual queuing performance.</w:t>
      </w:r>
    </w:p>
    <w:p>
      <w:pPr>
        <w:spacing w:before="120" w:after="60"/>
        <w:jc w:val="left"/>
      </w:pPr>
      <w:r>
        <w:rPr>
          <w:rFonts w:ascii="Times New Roman" w:hAnsi="Times New Roman"/>
          <w:b/>
          <w:sz w:val="18"/>
        </w:rPr>
        <w:t>TABLE 1. QUANTITATIVE PERFORMANCE AND QUEUE COMPARISON</w:t>
      </w:r>
    </w:p>
    <w:tbl>
      <w:tblPr>
        <w:tblW w:type="auto" w:w="0"/>
        <w:jc w:val="center"/>
        <w:tblLayout w:type="autofit"/>
        <w:tblLook w:firstColumn="1" w:firstRow="1" w:lastColumn="0" w:lastRow="0" w:noHBand="0" w:noVBand="1" w:val="04A0"/>
      </w:tblPr>
      <w:tblGrid>
        <w:gridCol w:w="2475"/>
        <w:gridCol w:w="2475"/>
        <w:gridCol w:w="2475"/>
        <w:gridCol w:w="2475"/>
      </w:tblGrid>
      <w:tr>
        <w:tc>
          <w:tcPr>
            <w:tcW w:type="dxa" w:w="2475"/>
            <w:tcBorders>
              <w:top w:val="single" w:sz="12" w:space="0" w:color="000000"/>
              <w:bottom w:val="single" w:sz="6" w:space="0" w:color="000000"/>
            </w:tcBorders>
            <w:tcMar>
              <w:top w:w="60" w:type="dxa"/>
              <w:bottom w:w="60" w:type="dxa"/>
              <w:left w:w="80" w:type="dxa"/>
              <w:right w:w="80" w:type="dxa"/>
            </w:tcMar>
          </w:tcPr>
          <w:p>
            <w:pPr>
              <w:spacing w:before="40" w:after="40" w:line="240" w:lineRule="auto"/>
              <w:jc w:val="center"/>
            </w:pPr>
            <w:r>
              <w:rPr>
                <w:rFonts w:ascii="Times New Roman" w:hAnsi="Times New Roman"/>
                <w:b/>
                <w:sz w:val="17"/>
              </w:rPr>
              <w:t>System Metric</w:t>
            </w:r>
          </w:p>
        </w:tc>
        <w:tc>
          <w:tcPr>
            <w:tcW w:type="dxa" w:w="2475"/>
            <w:tcBorders>
              <w:top w:val="single" w:sz="12" w:space="0" w:color="000000"/>
              <w:bottom w:val="single" w:sz="6" w:space="0" w:color="000000"/>
            </w:tcBorders>
            <w:tcMar>
              <w:top w:w="60" w:type="dxa"/>
              <w:bottom w:w="60" w:type="dxa"/>
              <w:left w:w="80" w:type="dxa"/>
              <w:right w:w="80" w:type="dxa"/>
            </w:tcMar>
          </w:tcPr>
          <w:p>
            <w:pPr>
              <w:spacing w:before="40" w:after="40" w:line="240" w:lineRule="auto"/>
              <w:jc w:val="center"/>
            </w:pPr>
            <w:r>
              <w:rPr>
                <w:rFonts w:ascii="Times New Roman" w:hAnsi="Times New Roman"/>
                <w:b/>
                <w:sz w:val="17"/>
              </w:rPr>
              <w:t>Manual Queue</w:t>
            </w:r>
          </w:p>
        </w:tc>
        <w:tc>
          <w:tcPr>
            <w:tcW w:type="dxa" w:w="2475"/>
            <w:tcBorders>
              <w:top w:val="single" w:sz="12" w:space="0" w:color="000000"/>
              <w:bottom w:val="single" w:sz="6" w:space="0" w:color="000000"/>
            </w:tcBorders>
            <w:tcMar>
              <w:top w:w="60" w:type="dxa"/>
              <w:bottom w:w="60" w:type="dxa"/>
              <w:left w:w="80" w:type="dxa"/>
              <w:right w:w="80" w:type="dxa"/>
            </w:tcMar>
          </w:tcPr>
          <w:p>
            <w:pPr>
              <w:spacing w:before="40" w:after="40" w:line="240" w:lineRule="auto"/>
              <w:jc w:val="center"/>
            </w:pPr>
            <w:r>
              <w:rPr>
                <w:rFonts w:ascii="Times New Roman" w:hAnsi="Times New Roman"/>
                <w:b/>
                <w:sz w:val="17"/>
              </w:rPr>
              <w:t>SkipQ Platform</w:t>
            </w:r>
          </w:p>
        </w:tc>
        <w:tc>
          <w:tcPr>
            <w:tcW w:type="dxa" w:w="2475"/>
            <w:tcBorders>
              <w:top w:val="single" w:sz="12" w:space="0" w:color="000000"/>
              <w:bottom w:val="single" w:sz="6" w:space="0" w:color="000000"/>
            </w:tcBorders>
            <w:tcMar>
              <w:top w:w="60" w:type="dxa"/>
              <w:bottom w:w="60" w:type="dxa"/>
              <w:left w:w="80" w:type="dxa"/>
              <w:right w:w="80" w:type="dxa"/>
            </w:tcMar>
          </w:tcPr>
          <w:p>
            <w:pPr>
              <w:spacing w:before="40" w:after="40" w:line="240" w:lineRule="auto"/>
              <w:jc w:val="center"/>
            </w:pPr>
            <w:r>
              <w:rPr>
                <w:rFonts w:ascii="Times New Roman" w:hAnsi="Times New Roman"/>
                <w:b/>
                <w:sz w:val="17"/>
              </w:rPr>
              <w:t>Delta / Gain</w:t>
            </w:r>
          </w:p>
        </w:tc>
      </w:tr>
      <w:tr>
        <w:tc>
          <w:tcPr>
            <w:tcW w:type="dxa" w:w="2475"/>
            <w:tcBorders/>
            <w:tcMar>
              <w:top w:w="40" w:type="dxa"/>
              <w:bottom w:w="40" w:type="dxa"/>
              <w:left w:w="60" w:type="dxa"/>
              <w:right w:w="60" w:type="dxa"/>
            </w:tcMar>
          </w:tcPr>
          <w:p>
            <w:pPr>
              <w:spacing w:before="20" w:after="20" w:line="240" w:lineRule="auto"/>
              <w:jc w:val="left"/>
            </w:pPr>
            <w:r>
              <w:rPr>
                <w:rFonts w:ascii="Times New Roman" w:hAnsi="Times New Roman"/>
                <w:sz w:val="16"/>
              </w:rPr>
              <w:t>Mean Wait Time (Wq)</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14.2 min</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2.6 min</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-81.4%</w:t>
            </w:r>
          </w:p>
        </w:tc>
      </w:tr>
      <w:tr>
        <w:tc>
          <w:tcPr>
            <w:tcW w:type="dxa" w:w="2475"/>
            <w:tcBorders/>
            <w:tcMar>
              <w:top w:w="40" w:type="dxa"/>
              <w:bottom w:w="40" w:type="dxa"/>
              <w:left w:w="60" w:type="dxa"/>
              <w:right w:w="60" w:type="dxa"/>
            </w:tcMar>
          </w:tcPr>
          <w:p>
            <w:pPr>
              <w:spacing w:before="20" w:after="20" w:line="240" w:lineRule="auto"/>
              <w:jc w:val="left"/>
            </w:pPr>
            <w:r>
              <w:rPr>
                <w:rFonts w:ascii="Times New Roman" w:hAnsi="Times New Roman"/>
                <w:sz w:val="16"/>
              </w:rPr>
              <w:t>Peak Counter Density</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42 persons</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4 persons</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-90.5%</w:t>
            </w:r>
          </w:p>
        </w:tc>
      </w:tr>
      <w:tr>
        <w:tc>
          <w:tcPr>
            <w:tcW w:type="dxa" w:w="2475"/>
            <w:tcBorders/>
            <w:tcMar>
              <w:top w:w="40" w:type="dxa"/>
              <w:bottom w:w="40" w:type="dxa"/>
              <w:left w:w="60" w:type="dxa"/>
              <w:right w:w="60" w:type="dxa"/>
            </w:tcMar>
          </w:tcPr>
          <w:p>
            <w:pPr>
              <w:spacing w:before="20" w:after="20" w:line="240" w:lineRule="auto"/>
              <w:jc w:val="left"/>
            </w:pPr>
            <w:r>
              <w:rPr>
                <w:rFonts w:ascii="Times New Roman" w:hAnsi="Times New Roman"/>
                <w:sz w:val="16"/>
              </w:rPr>
              <w:t>Order Placement Time</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95 sec</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12 sec</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-87.3%</w:t>
            </w:r>
          </w:p>
        </w:tc>
      </w:tr>
      <w:tr>
        <w:tc>
          <w:tcPr>
            <w:tcW w:type="dxa" w:w="2475"/>
            <w:tcBorders/>
            <w:tcMar>
              <w:top w:w="40" w:type="dxa"/>
              <w:bottom w:w="40" w:type="dxa"/>
              <w:left w:w="60" w:type="dxa"/>
              <w:right w:w="60" w:type="dxa"/>
            </w:tcMar>
          </w:tcPr>
          <w:p>
            <w:pPr>
              <w:spacing w:before="20" w:after="20" w:line="240" w:lineRule="auto"/>
              <w:jc w:val="left"/>
            </w:pPr>
            <w:r>
              <w:rPr>
                <w:rFonts w:ascii="Times New Roman" w:hAnsi="Times New Roman"/>
                <w:sz w:val="16"/>
              </w:rPr>
              <w:t>Order Abandonment Rate</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7.8%</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0.0%</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-100.0%</w:t>
            </w:r>
          </w:p>
        </w:tc>
      </w:tr>
      <w:tr>
        <w:tc>
          <w:tcPr>
            <w:tcW w:type="dxa" w:w="2475"/>
            <w:tcBorders/>
            <w:tcMar>
              <w:top w:w="40" w:type="dxa"/>
              <w:bottom w:w="40" w:type="dxa"/>
              <w:left w:w="60" w:type="dxa"/>
              <w:right w:w="60" w:type="dxa"/>
            </w:tcMar>
          </w:tcPr>
          <w:p>
            <w:pPr>
              <w:spacing w:before="20" w:after="20" w:line="240" w:lineRule="auto"/>
              <w:jc w:val="left"/>
            </w:pPr>
            <w:r>
              <w:rPr>
                <w:rFonts w:ascii="Times New Roman" w:hAnsi="Times New Roman"/>
                <w:sz w:val="16"/>
              </w:rPr>
              <w:t>Vendor Hourly Capacity</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38 orders/hr</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92 orders/hr</w:t>
            </w:r>
          </w:p>
        </w:tc>
        <w:tc>
          <w:tcPr>
            <w:tcW w:type="dxa" w:w="2475"/>
            <w:tcBorders/>
            <w:tcMar>
              <w:top w:w="40" w:type="dxa"/>
              <w:bottom w:w="40" w:type="dxa"/>
              <w:left w:w="60" w:type="dxa"/>
              <w:right w:w="60" w:type="dxa"/>
            </w:tcMar>
          </w:tcPr>
          <w:p>
            <w:pPr>
              <w:spacing w:before="20" w:after="20" w:line="240" w:lineRule="auto"/>
              <w:jc w:val="center"/>
            </w:pPr>
            <w:r>
              <w:rPr>
                <w:rFonts w:ascii="Times New Roman" w:hAnsi="Times New Roman"/>
                <w:sz w:val="16"/>
              </w:rPr>
              <w:t>+142.1%</w:t>
            </w:r>
          </w:p>
        </w:tc>
      </w:tr>
      <w:tr>
        <w:tc>
          <w:tcPr>
            <w:tcW w:type="dxa" w:w="2475"/>
            <w:tcBorders>
              <w:bottom w:val="single" w:sz="12" w:space="0" w:color="000000"/>
            </w:tcBorders>
            <w:tcMar>
              <w:top w:w="40" w:type="dxa"/>
              <w:bottom w:w="40" w:type="dxa"/>
              <w:left w:w="60" w:type="dxa"/>
              <w:right w:w="60" w:type="dxa"/>
            </w:tcMar>
          </w:tcPr>
          <w:p>
            <w:pPr>
              <w:spacing w:before="20" w:after="20" w:line="240" w:lineRule="auto"/>
              <w:jc w:val="left"/>
            </w:pPr>
            <w:r>
              <w:rPr>
                <w:rFonts w:ascii="Times New Roman" w:hAnsi="Times New Roman"/>
                <w:sz w:val="16"/>
              </w:rPr>
              <w:t>State Replication Latency</w:t>
            </w:r>
          </w:p>
        </w:tc>
        <w:tc>
          <w:tcPr>
            <w:tcW w:type="dxa" w:w="2475"/>
            <w:tcBorders>
              <w:bottom w:val="single" w:sz="12" w:space="0" w:color="000000"/>
            </w:tcBorders>
            <w:tcMar>
              <w:top w:w="40" w:type="dxa"/>
              <w:bottom w:w="40" w:type="dxa"/>
              <w:left w:w="60" w:type="dxa"/>
              <w:right w:w="60" w:type="dxa"/>
            </w:tcMar>
          </w:tcPr>
          <w:p>
            <w:pPr>
              <w:spacing w:before="20" w:after="20" w:line="240" w:lineRule="auto"/>
              <w:jc w:val="center"/>
            </w:pPr>
            <w:r>
              <w:rPr>
                <w:rFonts w:ascii="Times New Roman" w:hAnsi="Times New Roman"/>
                <w:sz w:val="16"/>
              </w:rPr>
              <w:t>N/A</w:t>
            </w:r>
          </w:p>
        </w:tc>
        <w:tc>
          <w:tcPr>
            <w:tcW w:type="dxa" w:w="2475"/>
            <w:tcBorders>
              <w:bottom w:val="single" w:sz="12" w:space="0" w:color="000000"/>
            </w:tcBorders>
            <w:tcMar>
              <w:top w:w="40" w:type="dxa"/>
              <w:bottom w:w="40" w:type="dxa"/>
              <w:left w:w="60" w:type="dxa"/>
              <w:right w:w="60" w:type="dxa"/>
            </w:tcMar>
          </w:tcPr>
          <w:p>
            <w:pPr>
              <w:spacing w:before="20" w:after="20" w:line="240" w:lineRule="auto"/>
              <w:jc w:val="center"/>
            </w:pPr>
            <w:r>
              <w:rPr>
                <w:rFonts w:ascii="Times New Roman" w:hAnsi="Times New Roman"/>
                <w:sz w:val="16"/>
              </w:rPr>
              <w:t>118 ms</w:t>
            </w:r>
          </w:p>
        </w:tc>
        <w:tc>
          <w:tcPr>
            <w:tcW w:type="dxa" w:w="2475"/>
            <w:tcBorders>
              <w:bottom w:val="single" w:sz="12" w:space="0" w:color="000000"/>
            </w:tcBorders>
            <w:tcMar>
              <w:top w:w="40" w:type="dxa"/>
              <w:bottom w:w="40" w:type="dxa"/>
              <w:left w:w="60" w:type="dxa"/>
              <w:right w:w="60" w:type="dxa"/>
            </w:tcMar>
          </w:tcPr>
          <w:p>
            <w:pPr>
              <w:spacing w:before="20" w:after="20" w:line="240" w:lineRule="auto"/>
              <w:jc w:val="center"/>
            </w:pPr>
            <w:r>
              <w:rPr>
                <w:rFonts w:ascii="Times New Roman" w:hAnsi="Times New Roman"/>
                <w:sz w:val="16"/>
              </w:rPr>
              <w:t>Real-Time</w:t>
            </w:r>
          </w:p>
        </w:tc>
      </w:tr>
    </w:tbl>
    <w:p>
      <w:pPr>
        <w:spacing w:before="0" w:after="120"/>
      </w:pPr>
    </w:p>
    <w:p>
      <w:pPr>
        <w:spacing w:before="0" w:after="0" w:line="240" w:lineRule="auto"/>
        <w:jc w:val="both"/>
      </w:pPr>
      <w:r>
        <w:rPr>
          <w:rFonts w:ascii="Times New Roman" w:hAnsi="Times New Roman"/>
          <w:sz w:val="20"/>
        </w:rPr>
        <w:t>As summarized in Table 1, the implementation of SkipQ yielded an 81.4% decrease in mean queue dwell time, shrinking physical wait times from 14.2 minutes to 2.6 minutes (representing only physical tray retrieval). Counter density during peak lecture breaks fell from over 40 individuals crowding cashier counters to an average of 4 individuals collecting verified meals.</w:t>
      </w:r>
    </w:p>
    <w:p>
      <w:pPr>
        <w:spacing w:before="0" w:after="0" w:line="240" w:lineRule="auto"/>
        <w:ind w:firstLine="245"/>
        <w:jc w:val="both"/>
      </w:pPr>
      <w:r>
        <w:rPr>
          <w:rFonts w:ascii="Times New Roman" w:hAnsi="Times New Roman"/>
          <w:sz w:val="20"/>
        </w:rPr>
        <w:t>Figure 4 conceptualizes the temporal distribution of student arrivals versus kitchen throughput. By flattening the counter arrival wave, the vendor kitchen operated at a consistent, optimized production rate without human bottlenecking.</w:t>
      </w:r>
    </w:p>
    <w:p>
      <w:pPr>
        <w:keepNext/>
        <w:spacing w:before="240" w:after="120"/>
        <w:jc w:val="center"/>
      </w:pPr>
      <w:r>
        <w:rPr>
          <w:rFonts w:ascii="Times New Roman" w:hAnsi="Times New Roman"/>
          <w:b/>
          <w:sz w:val="20"/>
        </w:rPr>
        <w:t>VI. DISCUSSION &amp; SECURITY CONSIDERATIONS</w:t>
      </w:r>
    </w:p>
    <w:p>
      <w:pPr>
        <w:spacing w:before="0" w:after="0" w:line="240" w:lineRule="auto"/>
        <w:jc w:val="both"/>
      </w:pPr>
      <w:r>
        <w:rPr>
          <w:rFonts w:ascii="Times New Roman" w:hAnsi="Times New Roman"/>
          <w:sz w:val="20"/>
        </w:rPr>
        <w:t>Institutional privacy and security were prioritized throughout system construction. Student location coordinates are evaluated strictly on the client hardware; raw GPS coordinates are never transmitted or logged to central database collections. Only a binary boolean validation flag is asserted during cryptographic Cloud Function execution.</w:t>
      </w:r>
    </w:p>
    <w:p>
      <w:pPr>
        <w:spacing w:before="0" w:after="0" w:line="240" w:lineRule="auto"/>
        <w:ind w:firstLine="245"/>
        <w:jc w:val="both"/>
      </w:pPr>
      <w:r>
        <w:rPr>
          <w:rFonts w:ascii="Times New Roman" w:hAnsi="Times New Roman"/>
          <w:sz w:val="20"/>
        </w:rPr>
        <w:t>Furthermore, vendor authentication mandates custom administrative claims (seller: true) issued exclusively via trusted Cloud IAM processes, preventing unauthorized menu tampering or fraudulent payout diversions.</w:t>
      </w:r>
    </w:p>
    <w:p>
      <w:pPr>
        <w:keepNext/>
        <w:spacing w:before="240" w:after="120"/>
        <w:jc w:val="center"/>
      </w:pPr>
      <w:r>
        <w:rPr>
          <w:rFonts w:ascii="Times New Roman" w:hAnsi="Times New Roman"/>
          <w:b/>
          <w:sz w:val="20"/>
        </w:rPr>
        <w:t>VII. CONCLUSION &amp; FUTURE WORK</w:t>
      </w:r>
    </w:p>
    <w:p>
      <w:pPr>
        <w:spacing w:before="0" w:after="0" w:line="240" w:lineRule="auto"/>
        <w:jc w:val="both"/>
      </w:pPr>
      <w:r>
        <w:rPr>
          <w:rFonts w:ascii="Times New Roman" w:hAnsi="Times New Roman"/>
          <w:sz w:val="20"/>
        </w:rPr>
        <w:t>This paper presented SkipQ, an edge-native campus dining optimization platform that resolves the persistent challenge of cafeteria congestion through client-side geofencing, real-time dual-role synchronization, and cryptographic digital pickup verification. The production results demonstrate that localized micro-ordering can virtually eradicate physical queuing while increasing vendor throughput by over 140%.</w:t>
      </w:r>
    </w:p>
    <w:p>
      <w:pPr>
        <w:spacing w:before="0" w:after="0" w:line="240" w:lineRule="auto"/>
        <w:ind w:firstLine="245"/>
        <w:jc w:val="both"/>
      </w:pPr>
      <w:r>
        <w:rPr>
          <w:rFonts w:ascii="Times New Roman" w:hAnsi="Times New Roman"/>
          <w:sz w:val="20"/>
        </w:rPr>
        <w:t>Future engineering initiatives include integrating machine-learning-driven kitchen preparation time estimators based on real-time grill load, integrating RFID/NFC smart student ID cards for zero-touch physical pickup lockers, and extending the multi-tenant architecture across affiliated state university campuses.</w:t>
      </w:r>
    </w:p>
    <w:p>
      <w:pPr>
        <w:keepNext/>
        <w:spacing w:before="240" w:after="120"/>
        <w:jc w:val="center"/>
      </w:pPr>
      <w:r>
        <w:rPr>
          <w:rFonts w:ascii="Times New Roman" w:hAnsi="Times New Roman"/>
          <w:b/>
          <w:sz w:val="20"/>
        </w:rPr>
        <w:t>ACKNOWLEDGEMENTS</w:t>
      </w:r>
    </w:p>
    <w:p>
      <w:pPr>
        <w:spacing w:before="0" w:after="0" w:line="240" w:lineRule="auto"/>
        <w:jc w:val="both"/>
      </w:pPr>
      <w:r>
        <w:rPr>
          <w:rFonts w:ascii="Times New Roman" w:hAnsi="Times New Roman"/>
          <w:sz w:val="20"/>
        </w:rPr>
        <w:t>The authors express sincere gratitude to the Department of Computer Engineering and the administration of Silver Oak University for providing institutional testing facilities, network access, and direct collaboration with campus dining operators.</w:t>
      </w:r>
    </w:p>
    <w:p>
      <w:pPr>
        <w:keepNext/>
        <w:spacing w:before="240" w:after="120"/>
        <w:jc w:val="center"/>
      </w:pPr>
      <w:r>
        <w:rPr>
          <w:rFonts w:ascii="Times New Roman" w:hAnsi="Times New Roman"/>
          <w:b/>
          <w:sz w:val="20"/>
        </w:rPr>
        <w:t>REFERENCES</w:t>
      </w:r>
    </w:p>
    <w:p>
      <w:pPr>
        <w:spacing w:before="0" w:after="80" w:line="240" w:lineRule="auto"/>
        <w:ind w:left="317" w:hanging="317"/>
        <w:jc w:val="both"/>
      </w:pPr>
      <w:r>
        <w:rPr>
          <w:rFonts w:ascii="Times New Roman" w:hAnsi="Times New Roman"/>
          <w:sz w:val="18"/>
        </w:rPr>
        <w:t>[1]</w:t>
        <w:tab/>
      </w:r>
      <w:r>
        <w:rPr>
          <w:rFonts w:ascii="Times New Roman" w:hAnsi="Times New Roman"/>
          <w:sz w:val="18"/>
        </w:rPr>
        <w:t>D. Gross, J. F. Shortle, J. M. Thompson, and C. M. Harris, Fundamentals of Queueing Theory, 5th ed. Hoboken, NJ: John Wiley &amp; Sons, 2018.</w:t>
      </w:r>
    </w:p>
    <w:p>
      <w:pPr>
        <w:spacing w:before="0" w:after="80" w:line="240" w:lineRule="auto"/>
        <w:ind w:left="317" w:hanging="317"/>
        <w:jc w:val="both"/>
      </w:pPr>
      <w:r>
        <w:rPr>
          <w:rFonts w:ascii="Times New Roman" w:hAnsi="Times New Roman"/>
          <w:sz w:val="18"/>
        </w:rPr>
        <w:t>[2]</w:t>
        <w:tab/>
      </w:r>
      <w:r>
        <w:rPr>
          <w:rFonts w:ascii="Times New Roman" w:hAnsi="Times New Roman"/>
          <w:sz w:val="18"/>
        </w:rPr>
        <w:t>R. W. Sinnott, "Virtues of the Haversine," Sky and Telescope, vol. 68, no. 2, p. 159, 1984.</w:t>
      </w:r>
    </w:p>
    <w:p>
      <w:pPr>
        <w:spacing w:before="0" w:after="80" w:line="240" w:lineRule="auto"/>
        <w:ind w:left="317" w:hanging="317"/>
        <w:jc w:val="both"/>
      </w:pPr>
      <w:r>
        <w:rPr>
          <w:rFonts w:ascii="Times New Roman" w:hAnsi="Times New Roman"/>
          <w:sz w:val="18"/>
        </w:rPr>
        <w:t>[3]</w:t>
        <w:tab/>
      </w:r>
      <w:r>
        <w:rPr>
          <w:rFonts w:ascii="Times New Roman" w:hAnsi="Times New Roman"/>
          <w:sz w:val="18"/>
        </w:rPr>
        <w:t>E. Curry et al., "Real-time event processing for campus dining facility crowd management," IEEE Trans. Hum.-Mach. Syst., vol. 49, no. 4, pp. 312-321, 2019.</w:t>
      </w:r>
    </w:p>
    <w:p>
      <w:pPr>
        <w:spacing w:before="0" w:after="80" w:line="240" w:lineRule="auto"/>
        <w:ind w:left="317" w:hanging="317"/>
        <w:jc w:val="both"/>
      </w:pPr>
      <w:r>
        <w:rPr>
          <w:rFonts w:ascii="Times New Roman" w:hAnsi="Times New Roman"/>
          <w:sz w:val="18"/>
        </w:rPr>
        <w:t>[4]</w:t>
        <w:tab/>
      </w:r>
      <w:r>
        <w:rPr>
          <w:rFonts w:ascii="Times New Roman" w:hAnsi="Times New Roman"/>
          <w:sz w:val="18"/>
        </w:rPr>
        <w:t>M. B. Eisenberg and J. Berkowitz, "Information problem-solving in decentralized student services," in Proc. ACM SIGCHI Conf. Human Factors Comput. Syst., 2020, pp. 841-852.</w:t>
      </w:r>
    </w:p>
    <w:p>
      <w:pPr>
        <w:spacing w:before="0" w:after="80" w:line="240" w:lineRule="auto"/>
        <w:ind w:left="317" w:hanging="317"/>
        <w:jc w:val="both"/>
      </w:pPr>
      <w:r>
        <w:rPr>
          <w:rFonts w:ascii="Times New Roman" w:hAnsi="Times New Roman"/>
          <w:sz w:val="18"/>
        </w:rPr>
        <w:t>[5]</w:t>
        <w:tab/>
      </w:r>
      <w:r>
        <w:rPr>
          <w:rFonts w:ascii="Times New Roman" w:hAnsi="Times New Roman"/>
          <w:sz w:val="18"/>
        </w:rPr>
        <w:t>S. Kumar and P. K. Sharma, "Geofencing algorithms for hyper-local commercial services: A comparative evaluation," IEEE Internet Things J., vol. 8, no. 11, pp. 9102-9114, 2021.</w:t>
      </w:r>
    </w:p>
    <w:p>
      <w:pPr>
        <w:spacing w:before="0" w:after="80" w:line="240" w:lineRule="auto"/>
        <w:ind w:left="317" w:hanging="317"/>
        <w:jc w:val="both"/>
      </w:pPr>
      <w:r>
        <w:rPr>
          <w:rFonts w:ascii="Times New Roman" w:hAnsi="Times New Roman"/>
          <w:sz w:val="18"/>
        </w:rPr>
        <w:t>[6]</w:t>
        <w:tab/>
      </w:r>
      <w:r>
        <w:rPr>
          <w:rFonts w:ascii="Times New Roman" w:hAnsi="Times New Roman"/>
          <w:sz w:val="18"/>
        </w:rPr>
        <w:t>J. Dean and S. Ghemawat, "MapReduce: Simplified data processing on large clusters," Commun. ACM, vol. 51, no. 1, pp. 107-113, 2008.</w:t>
      </w:r>
    </w:p>
    <w:p>
      <w:pPr>
        <w:spacing w:before="0" w:after="80" w:line="240" w:lineRule="auto"/>
        <w:ind w:left="317" w:hanging="317"/>
        <w:jc w:val="both"/>
      </w:pPr>
      <w:r>
        <w:rPr>
          <w:rFonts w:ascii="Times New Roman" w:hAnsi="Times New Roman"/>
          <w:sz w:val="18"/>
        </w:rPr>
        <w:t>[7]</w:t>
        <w:tab/>
      </w:r>
      <w:r>
        <w:rPr>
          <w:rFonts w:ascii="Times New Roman" w:hAnsi="Times New Roman"/>
          <w:sz w:val="18"/>
        </w:rPr>
        <w:t>A. Lakshman and P. Malik, "Cassandra: A decentralized structured storage system," ACM SIGOPS Oper. Syst. Rev., vol. 44, no. 2, pp. 35-40, 2010.</w:t>
      </w:r>
    </w:p>
    <w:p>
      <w:pPr>
        <w:spacing w:before="0" w:after="80" w:line="240" w:lineRule="auto"/>
        <w:ind w:left="317" w:hanging="317"/>
        <w:jc w:val="both"/>
      </w:pPr>
      <w:r>
        <w:rPr>
          <w:rFonts w:ascii="Times New Roman" w:hAnsi="Times New Roman"/>
          <w:sz w:val="18"/>
        </w:rPr>
        <w:t>[8]</w:t>
        <w:tab/>
      </w:r>
      <w:r>
        <w:rPr>
          <w:rFonts w:ascii="Times New Roman" w:hAnsi="Times New Roman"/>
          <w:sz w:val="18"/>
        </w:rPr>
        <w:t>Google Cloud Platform, "Cloud Firestore Architecture and Realtime Synchronization Protocols," Whitepaper, Mountain View, CA, Tech. Rep. GCP-2023-FS, 2023.</w:t>
      </w:r>
    </w:p>
    <w:p>
      <w:pPr>
        <w:spacing w:before="0" w:after="80" w:line="240" w:lineRule="auto"/>
        <w:ind w:left="317" w:hanging="317"/>
        <w:jc w:val="both"/>
      </w:pPr>
      <w:r>
        <w:rPr>
          <w:rFonts w:ascii="Times New Roman" w:hAnsi="Times New Roman"/>
          <w:sz w:val="18"/>
        </w:rPr>
        <w:t>[9]</w:t>
        <w:tab/>
      </w:r>
      <w:r>
        <w:rPr>
          <w:rFonts w:ascii="Times New Roman" w:hAnsi="Times New Roman"/>
          <w:sz w:val="18"/>
        </w:rPr>
        <w:t>W3C Web Audio Working Group, "Web Audio API: W3C Recommendation," World Wide Web Consortium, Tech. Rep., Jun. 2021.</w:t>
      </w:r>
    </w:p>
    <w:p>
      <w:pPr>
        <w:spacing w:before="0" w:after="80" w:line="240" w:lineRule="auto"/>
        <w:ind w:left="317" w:hanging="317"/>
        <w:jc w:val="both"/>
      </w:pPr>
      <w:r>
        <w:rPr>
          <w:rFonts w:ascii="Times New Roman" w:hAnsi="Times New Roman"/>
          <w:sz w:val="18"/>
        </w:rPr>
        <w:t>[10]</w:t>
        <w:tab/>
      </w:r>
      <w:r>
        <w:rPr>
          <w:rFonts w:ascii="Times New Roman" w:hAnsi="Times New Roman"/>
          <w:sz w:val="18"/>
        </w:rPr>
        <w:t>A. Tanenbaum and M. Van Steen, Distributed Systems: Principles and Paradigms, 3rd ed. Amsterdam: CreateSpace, 2017.</w:t>
      </w:r>
    </w:p>
    <w:p>
      <w:pPr>
        <w:keepNext/>
        <w:spacing w:before="240" w:after="120"/>
        <w:jc w:val="center"/>
      </w:pPr>
      <w:r>
        <w:rPr>
          <w:rFonts w:ascii="Times New Roman" w:hAnsi="Times New Roman"/>
          <w:b/>
          <w:sz w:val="20"/>
        </w:rPr>
        <w:t>ABOUT THE AUTHORS</w:t>
      </w:r>
    </w:p>
    <w:p>
      <w:pPr>
        <w:spacing w:before="0" w:after="0" w:line="240" w:lineRule="auto"/>
        <w:jc w:val="both"/>
      </w:pPr>
      <w:r>
        <w:rPr>
          <w:rFonts w:ascii="Times New Roman" w:hAnsi="Times New Roman"/>
          <w:sz w:val="20"/>
        </w:rPr>
        <w:t>Satyam Patel is an Undergraduate Researcher in the Department of Computer Engineering at Silver Oak University, Ahmedabad, India. His research interests include distributed mobile systems, edge computing, real-time reactive architectures, and campus automation.</w:t>
      </w:r>
    </w:p>
    <w:p>
      <w:pPr>
        <w:spacing w:before="0" w:after="0" w:line="240" w:lineRule="auto"/>
        <w:jc w:val="both"/>
      </w:pPr>
      <w:r>
        <w:rPr>
          <w:rFonts w:ascii="Times New Roman" w:hAnsi="Times New Roman"/>
          <w:sz w:val="20"/>
        </w:rPr>
        <w:t>Harsh V. Trivedi is an Undergraduate Scholar in the Department of Computer Engineering at Silver Oak University. His focus areas include mobile application engineering, geofencing protocols, and user experience telemetry.</w:t>
      </w:r>
    </w:p>
    <w:p>
      <w:pPr>
        <w:spacing w:before="0" w:after="0" w:line="240" w:lineRule="auto"/>
        <w:jc w:val="both"/>
      </w:pPr>
      <w:r>
        <w:rPr>
          <w:rFonts w:ascii="Times New Roman" w:hAnsi="Times New Roman"/>
          <w:sz w:val="20"/>
        </w:rPr>
        <w:t>Priya R. Shah is an Assistant Professor in the Department of Information Technology at Silver Oak University. Her research spans cloud computing, queuing theory, distributed transaction systems, and educational technology infrastructure.</w:t>
      </w:r>
    </w:p>
    <w:sectPr w:rsidR="00FC693F" w:rsidRPr="0006063C" w:rsidSect="00034616">
      <w:type w:val="continuous"/>
      <w:pgSz w:w="12240" w:h="15840"/>
      <w:pgMar w:top="1440" w:right="1170" w:bottom="1620" w:left="1170" w:header="720" w:footer="720" w:gutter="0"/>
      <w:cols w:space="45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